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6FF" w:rsidRPr="000656FF" w:rsidRDefault="000656FF" w:rsidP="000656FF">
      <w:pPr>
        <w:pStyle w:val="Headline0"/>
        <w:rPr>
          <w:sz w:val="44"/>
          <w:szCs w:val="32"/>
          <w:lang w:eastAsia="en-US"/>
        </w:rPr>
      </w:pPr>
      <w:r w:rsidRPr="000656FF">
        <w:rPr>
          <w:sz w:val="44"/>
          <w:szCs w:val="32"/>
          <w:lang w:eastAsia="en-US"/>
        </w:rPr>
        <w:t>Daikin reinforces its position in the commercial ventilation market with new technology developments</w:t>
      </w:r>
    </w:p>
    <w:p w:rsidR="000656FF" w:rsidRDefault="000656FF" w:rsidP="00C61E6B">
      <w:pPr>
        <w:pStyle w:val="Introduction"/>
        <w:rPr>
          <w:sz w:val="36"/>
          <w:lang w:eastAsia="en-US"/>
        </w:rPr>
      </w:pPr>
    </w:p>
    <w:p w:rsidR="000656FF" w:rsidRPr="000656FF" w:rsidRDefault="00C61E6B" w:rsidP="000656FF">
      <w:pPr>
        <w:pStyle w:val="Introduction"/>
        <w:rPr>
          <w:sz w:val="36"/>
          <w:lang w:eastAsia="en-US"/>
        </w:rPr>
      </w:pPr>
      <w:r w:rsidRPr="00C61E6B">
        <w:rPr>
          <w:sz w:val="36"/>
          <w:lang w:eastAsia="en-US"/>
        </w:rPr>
        <w:t xml:space="preserve">Vienna, </w:t>
      </w:r>
      <w:r w:rsidR="003B671C">
        <w:rPr>
          <w:sz w:val="36"/>
          <w:lang w:eastAsia="en-US"/>
        </w:rPr>
        <w:t>March 19th</w:t>
      </w:r>
      <w:r w:rsidRPr="00C61E6B">
        <w:rPr>
          <w:sz w:val="36"/>
          <w:lang w:eastAsia="en-US"/>
        </w:rPr>
        <w:t xml:space="preserve">, 2018 </w:t>
      </w:r>
      <w:r>
        <w:rPr>
          <w:sz w:val="36"/>
          <w:lang w:eastAsia="en-US"/>
        </w:rPr>
        <w:t xml:space="preserve">- </w:t>
      </w:r>
      <w:r w:rsidR="000656FF" w:rsidRPr="000656FF">
        <w:rPr>
          <w:sz w:val="36"/>
          <w:lang w:eastAsia="en-US"/>
        </w:rPr>
        <w:t xml:space="preserve">Continuing to focus on energy efficiency and space-saving solutions for commercial applications, Daikin has introduced two new compact, energy recovery ventilation units, which not only comply with, but exceed new </w:t>
      </w:r>
      <w:proofErr w:type="spellStart"/>
      <w:r w:rsidR="000656FF" w:rsidRPr="000656FF">
        <w:rPr>
          <w:sz w:val="36"/>
          <w:lang w:eastAsia="en-US"/>
        </w:rPr>
        <w:t>ErP</w:t>
      </w:r>
      <w:proofErr w:type="spellEnd"/>
      <w:r w:rsidR="000656FF" w:rsidRPr="000656FF">
        <w:rPr>
          <w:sz w:val="36"/>
          <w:lang w:eastAsia="en-US"/>
        </w:rPr>
        <w:t xml:space="preserve"> requirements.</w:t>
      </w:r>
    </w:p>
    <w:p w:rsidR="000656FF" w:rsidRPr="000656FF" w:rsidRDefault="000656FF" w:rsidP="000656FF">
      <w:pPr>
        <w:pStyle w:val="Introduction"/>
        <w:rPr>
          <w:sz w:val="36"/>
          <w:lang w:eastAsia="en-US"/>
        </w:rPr>
      </w:pPr>
      <w:r w:rsidRPr="000656FF">
        <w:rPr>
          <w:sz w:val="36"/>
          <w:lang w:eastAsia="en-US"/>
        </w:rPr>
        <w:t xml:space="preserve">The </w:t>
      </w:r>
      <w:r>
        <w:rPr>
          <w:sz w:val="36"/>
          <w:lang w:eastAsia="en-US"/>
        </w:rPr>
        <w:t>two</w:t>
      </w:r>
      <w:r w:rsidRPr="000656FF">
        <w:rPr>
          <w:sz w:val="36"/>
          <w:lang w:eastAsia="en-US"/>
        </w:rPr>
        <w:t xml:space="preserve"> series offer a mainstream and high-end model to satisfy the different ventilation requirements in the market.</w:t>
      </w:r>
    </w:p>
    <w:p w:rsidR="000656FF" w:rsidRDefault="000656FF" w:rsidP="000656FF">
      <w:pPr>
        <w:pStyle w:val="Subheadline"/>
        <w:rPr>
          <w:rFonts w:asciiTheme="minorHAnsi" w:hAnsiTheme="minorHAnsi"/>
          <w:b w:val="0"/>
          <w:bCs/>
          <w:color w:val="5F5F5F" w:themeColor="background2"/>
          <w:sz w:val="32"/>
          <w:szCs w:val="26"/>
          <w:lang w:eastAsia="en-US"/>
        </w:rPr>
      </w:pPr>
    </w:p>
    <w:p w:rsidR="00C61E6B" w:rsidRDefault="000656FF" w:rsidP="000656FF">
      <w:pPr>
        <w:pStyle w:val="Subheadline"/>
        <w:rPr>
          <w:rFonts w:asciiTheme="minorHAnsi" w:hAnsiTheme="minorHAnsi"/>
          <w:b w:val="0"/>
          <w:color w:val="5F5F5F" w:themeColor="background2"/>
          <w:sz w:val="32"/>
          <w:szCs w:val="26"/>
          <w:lang w:eastAsia="en-US"/>
        </w:rPr>
      </w:pPr>
      <w:r w:rsidRPr="000656FF">
        <w:rPr>
          <w:rFonts w:asciiTheme="minorHAnsi" w:hAnsiTheme="minorHAnsi"/>
          <w:b w:val="0"/>
          <w:bCs/>
          <w:color w:val="5F5F5F" w:themeColor="background2"/>
          <w:sz w:val="32"/>
          <w:szCs w:val="26"/>
          <w:lang w:eastAsia="en-US"/>
        </w:rPr>
        <w:t>New VAM-J series enthalpy recovery unit</w:t>
      </w:r>
    </w:p>
    <w:p w:rsidR="000656FF" w:rsidRDefault="000656FF" w:rsidP="000656FF">
      <w:pPr>
        <w:pStyle w:val="BodyCopy"/>
        <w:spacing w:line="360" w:lineRule="auto"/>
      </w:pPr>
      <w:r>
        <w:t xml:space="preserve">Adding to the existing VAM generation, the new VAM-J series offer a fresh air and ventilation control system for shops, restaurants and offices. </w:t>
      </w:r>
    </w:p>
    <w:p w:rsidR="000656FF" w:rsidRDefault="000656FF" w:rsidP="000656FF">
      <w:pPr>
        <w:pStyle w:val="BodyCopy"/>
        <w:spacing w:line="360" w:lineRule="auto"/>
      </w:pPr>
      <w:r>
        <w:t>The features which have established the existing VAM range as a class leader have been retained in the new VAM-J. The optional CO</w:t>
      </w:r>
      <w:r w:rsidRPr="00E542B7">
        <w:rPr>
          <w:vertAlign w:val="subscript"/>
        </w:rPr>
        <w:t>2</w:t>
      </w:r>
      <w:r>
        <w:t xml:space="preserve"> sensor, combined with a choice of medium or fine dust filters (M6, F7 and F8) </w:t>
      </w:r>
      <w:proofErr w:type="spellStart"/>
      <w:r>
        <w:t>optimises</w:t>
      </w:r>
      <w:proofErr w:type="spellEnd"/>
      <w:r>
        <w:t xml:space="preserve"> indoor air quality. As with the current series, an enthalpy exchanger, manufactured from High Efficiency Paper (HEP) not only exchanges heat, but also moisture. This provides higher energy savings and comfort levels by maintaining constant levels of humidity throughout the building, avoiding the uncomfortable extremes of dry or humid indoor climates.</w:t>
      </w:r>
    </w:p>
    <w:p w:rsidR="000656FF" w:rsidRDefault="000656FF" w:rsidP="000656FF">
      <w:pPr>
        <w:pStyle w:val="BodyCopy"/>
        <w:spacing w:line="360" w:lineRule="auto"/>
      </w:pPr>
      <w:r>
        <w:t xml:space="preserve">In developing the latest VAM-J Series, Daikin has revisited the design of the heat exchanger. A new diamond-shape offers improved energy efficiencies, while retaining the lowest installation height for a paper heat exchanger unit in the market (301mm for a 350/500 class). In addition to the savings </w:t>
      </w:r>
      <w:r>
        <w:lastRenderedPageBreak/>
        <w:t>achieved through heat recovery technology, the VAM-J series also incorporates a new energy-efficient DC fan motor.</w:t>
      </w:r>
    </w:p>
    <w:p w:rsidR="000656FF" w:rsidRPr="00BA5619" w:rsidRDefault="000656FF" w:rsidP="000656FF">
      <w:pPr>
        <w:pStyle w:val="BodyCopy"/>
        <w:spacing w:line="360" w:lineRule="auto"/>
        <w:rPr>
          <w:sz w:val="10"/>
          <w:szCs w:val="10"/>
        </w:rPr>
      </w:pPr>
      <w:r>
        <w:t>Installation has been simplified, with no need for drain pipes and easy adjustment of nominal airflow rates shortening installation times. Where dampers were previously needed to balance the air flows, making it difficult to match the air flow to the design conditions settings can now be changed on the wired remote controller, ensuring fast setup and optimum operation.</w:t>
      </w:r>
    </w:p>
    <w:p w:rsidR="000656FF" w:rsidRDefault="000656FF" w:rsidP="000656FF">
      <w:pPr>
        <w:pStyle w:val="BodyCopy"/>
        <w:spacing w:line="360" w:lineRule="auto"/>
      </w:pPr>
      <w:r>
        <w:t>The VAM-J and FC series combined encompass a wide range of units with flow rates from 150 to 2,000m</w:t>
      </w:r>
      <w:r w:rsidRPr="004A78CC">
        <w:rPr>
          <w:vertAlign w:val="superscript"/>
        </w:rPr>
        <w:t>3</w:t>
      </w:r>
      <w:r>
        <w:t>/h.</w:t>
      </w:r>
      <w:r>
        <w:br/>
      </w:r>
    </w:p>
    <w:p w:rsidR="000656FF" w:rsidRPr="000656FF" w:rsidRDefault="000656FF" w:rsidP="000656FF">
      <w:pPr>
        <w:pStyle w:val="Untertitel1"/>
        <w:rPr>
          <w:bCs w:val="0"/>
        </w:rPr>
      </w:pPr>
      <w:r w:rsidRPr="000656FF">
        <w:t>New Modular light premium efficiency ventilation unit</w:t>
      </w:r>
    </w:p>
    <w:p w:rsidR="000656FF" w:rsidRDefault="000656FF" w:rsidP="000656FF">
      <w:pPr>
        <w:pStyle w:val="BodyCopy"/>
        <w:spacing w:line="360" w:lineRule="auto"/>
        <w:rPr>
          <w:rStyle w:val="Hyperlink"/>
        </w:rPr>
      </w:pPr>
      <w:r>
        <w:t>Responding to market demand for a high-performance ventilation unit for wider application, a new heat recovery ventilation unit has been developed within our Daikin Applied R&amp;D Center.</w:t>
      </w:r>
    </w:p>
    <w:p w:rsidR="000656FF" w:rsidRDefault="000656FF" w:rsidP="000656FF">
      <w:pPr>
        <w:pStyle w:val="BodyCopy"/>
        <w:spacing w:line="360" w:lineRule="auto"/>
      </w:pPr>
      <w:r w:rsidRPr="00BA5619">
        <w:rPr>
          <w:sz w:val="10"/>
          <w:szCs w:val="10"/>
        </w:rPr>
        <w:br/>
      </w:r>
      <w:r>
        <w:t>Needing a clearance of only 280mm (up to 500m³/h) in height for installation, this VDI 6022 compliant unit has the lowest overall installation height in the market and is the best choice for ventilation, capable of delivering a flow rate of up to 3000m</w:t>
      </w:r>
      <w:r w:rsidRPr="004A78CC">
        <w:rPr>
          <w:vertAlign w:val="superscript"/>
        </w:rPr>
        <w:t>3</w:t>
      </w:r>
      <w:r>
        <w:t xml:space="preserve">/h. Thanks to its EC centrifugal fans, overall power consumption is </w:t>
      </w:r>
      <w:proofErr w:type="spellStart"/>
      <w:r>
        <w:t>minimised</w:t>
      </w:r>
      <w:proofErr w:type="spellEnd"/>
      <w:r>
        <w:t xml:space="preserve">, while delivering a high static pressure, up to 700 Pa, to accommodate the needs of more complex installations requiring extended ductwork. The new unit is equipped with a counter-flow plate aluminum heat exchanger, which is fully compliant with accepted hygiene and fire resistance standards. </w:t>
      </w:r>
    </w:p>
    <w:p w:rsidR="000656FF" w:rsidRDefault="000656FF" w:rsidP="000656FF">
      <w:pPr>
        <w:pStyle w:val="BodyCopy"/>
        <w:spacing w:line="360" w:lineRule="auto"/>
      </w:pPr>
      <w:r>
        <w:t>The unit recovers up to 90% of thermal energy and provides filtration classes up to F7/F9 for best indoor air quality condition and energy efficiency. The unit can also control Constant Air Flow or Constant Pressure in the duct as necessary.</w:t>
      </w:r>
    </w:p>
    <w:p w:rsidR="000656FF" w:rsidRDefault="000656FF" w:rsidP="000656FF">
      <w:pPr>
        <w:pStyle w:val="BodyCopy"/>
        <w:spacing w:line="360" w:lineRule="auto"/>
      </w:pPr>
      <w:r>
        <w:t>Daikin has developed a wide range of air handling and ventilat</w:t>
      </w:r>
      <w:bookmarkStart w:id="0" w:name="_GoBack"/>
      <w:bookmarkEnd w:id="0"/>
      <w:r>
        <w:t xml:space="preserve">ion solutions over the years. The new units have added to the portfolio to offer the installer and user a diverse choice, from plug &amp;play units to fully </w:t>
      </w:r>
      <w:proofErr w:type="spellStart"/>
      <w:r>
        <w:t>customised</w:t>
      </w:r>
      <w:proofErr w:type="spellEnd"/>
      <w:r>
        <w:t xml:space="preserve"> systems designed to meet the most demanding customer requirements.</w:t>
      </w:r>
    </w:p>
    <w:p w:rsidR="000656FF" w:rsidRDefault="000656FF" w:rsidP="000656FF">
      <w:pPr>
        <w:pStyle w:val="BodyCopy"/>
        <w:spacing w:line="360" w:lineRule="auto"/>
      </w:pPr>
      <w:r>
        <w:t>Available from this month, both systems can be used as stand-alone or combined with Sky Air and VRV systems to offer a complete heating, cooling and ventilation solution for total climate control.</w:t>
      </w:r>
    </w:p>
    <w:p w:rsidR="000656FF" w:rsidRDefault="000656FF" w:rsidP="000656FF">
      <w:pPr>
        <w:pStyle w:val="BodyCopy"/>
        <w:spacing w:line="360" w:lineRule="auto"/>
      </w:pPr>
      <w:r>
        <w:t xml:space="preserve">Explore all our solutions on: </w:t>
      </w:r>
      <w:hyperlink r:id="rId9" w:history="1">
        <w:r w:rsidR="000028DF" w:rsidRPr="00750DF5">
          <w:rPr>
            <w:rStyle w:val="Hyperlink"/>
          </w:rPr>
          <w:t>https://www.daikin-ce.com/en_us/area-of-expertise/ventilation.html</w:t>
        </w:r>
      </w:hyperlink>
    </w:p>
    <w:p w:rsidR="00D646C4" w:rsidRPr="00C61E6B" w:rsidRDefault="00D646C4" w:rsidP="00D646C4">
      <w:pPr>
        <w:pStyle w:val="Heading4"/>
        <w:numPr>
          <w:ilvl w:val="0"/>
          <w:numId w:val="0"/>
        </w:numPr>
        <w:tabs>
          <w:tab w:val="left" w:pos="720"/>
        </w:tabs>
        <w:spacing w:after="240"/>
        <w:rPr>
          <w:b w:val="0"/>
          <w:lang w:val="en-US"/>
        </w:rPr>
      </w:pPr>
    </w:p>
    <w:p w:rsidR="00D646C4" w:rsidRDefault="00D646C4" w:rsidP="00D646C4">
      <w:pPr>
        <w:pStyle w:val="Heading4"/>
        <w:numPr>
          <w:ilvl w:val="0"/>
          <w:numId w:val="0"/>
        </w:numPr>
        <w:tabs>
          <w:tab w:val="left" w:pos="720"/>
        </w:tabs>
        <w:spacing w:after="240"/>
        <w:rPr>
          <w:b w:val="0"/>
        </w:rPr>
      </w:pPr>
      <w:r>
        <w:rPr>
          <w:b w:val="0"/>
        </w:rPr>
        <w:t xml:space="preserve">DAIKIN </w:t>
      </w:r>
      <w:proofErr w:type="spellStart"/>
      <w:r>
        <w:rPr>
          <w:b w:val="0"/>
        </w:rPr>
        <w:t>Airconditioning</w:t>
      </w:r>
      <w:proofErr w:type="spellEnd"/>
      <w:r>
        <w:rPr>
          <w:b w:val="0"/>
        </w:rPr>
        <w:t xml:space="preserve"> Central Europe </w:t>
      </w:r>
    </w:p>
    <w:p w:rsidR="00D646C4" w:rsidRDefault="00D646C4" w:rsidP="00D646C4">
      <w:pPr>
        <w:autoSpaceDE w:val="0"/>
        <w:autoSpaceDN w:val="0"/>
        <w:adjustRightInd w:val="0"/>
        <w:spacing w:line="360" w:lineRule="auto"/>
        <w:rPr>
          <w:rFonts w:eastAsia="Times New Roman" w:cstheme="minorHAnsi"/>
          <w:szCs w:val="20"/>
          <w:lang w:val="en-GB" w:eastAsia="de-AT"/>
        </w:rPr>
      </w:pPr>
      <w:r>
        <w:rPr>
          <w:rFonts w:eastAsia="Times New Roman" w:cstheme="minorHAnsi"/>
          <w:szCs w:val="20"/>
          <w:lang w:val="en-GB" w:eastAsia="de-AT"/>
        </w:rPr>
        <w:t xml:space="preserve">Daikin </w:t>
      </w:r>
      <w:proofErr w:type="spellStart"/>
      <w:r>
        <w:rPr>
          <w:rFonts w:eastAsia="Times New Roman" w:cstheme="minorHAnsi"/>
          <w:szCs w:val="20"/>
          <w:lang w:val="en-GB" w:eastAsia="de-AT"/>
        </w:rPr>
        <w:t>Airconditioning</w:t>
      </w:r>
      <w:proofErr w:type="spellEnd"/>
      <w:r>
        <w:rPr>
          <w:rFonts w:eastAsia="Times New Roman" w:cstheme="minorHAnsi"/>
          <w:szCs w:val="20"/>
          <w:lang w:val="en-GB" w:eastAsia="de-AT"/>
        </w:rPr>
        <w:t xml:space="preserve"> Central Europe was founded in 1999 with </w:t>
      </w:r>
      <w:proofErr w:type="gramStart"/>
      <w:r>
        <w:rPr>
          <w:rFonts w:eastAsia="Times New Roman" w:cstheme="minorHAnsi"/>
          <w:szCs w:val="20"/>
          <w:lang w:val="en-GB" w:eastAsia="de-AT"/>
        </w:rPr>
        <w:t>its</w:t>
      </w:r>
      <w:proofErr w:type="gramEnd"/>
      <w:r>
        <w:rPr>
          <w:rFonts w:eastAsia="Times New Roman" w:cstheme="minorHAnsi"/>
          <w:szCs w:val="20"/>
          <w:lang w:val="en-GB" w:eastAsia="de-AT"/>
        </w:rPr>
        <w:t xml:space="preserve"> headquarter in </w:t>
      </w:r>
      <w:proofErr w:type="spellStart"/>
      <w:r>
        <w:rPr>
          <w:rFonts w:eastAsia="Times New Roman" w:cstheme="minorHAnsi"/>
          <w:szCs w:val="20"/>
          <w:lang w:val="en-GB" w:eastAsia="de-AT"/>
        </w:rPr>
        <w:t>Brunn</w:t>
      </w:r>
      <w:proofErr w:type="spellEnd"/>
      <w:r>
        <w:rPr>
          <w:rFonts w:eastAsia="Times New Roman" w:cstheme="minorHAnsi"/>
          <w:szCs w:val="20"/>
          <w:lang w:val="en-GB" w:eastAsia="de-AT"/>
        </w:rPr>
        <w:t xml:space="preserve"> am </w:t>
      </w:r>
      <w:proofErr w:type="spellStart"/>
      <w:r>
        <w:rPr>
          <w:rFonts w:eastAsia="Times New Roman" w:cstheme="minorHAnsi"/>
          <w:szCs w:val="20"/>
          <w:lang w:val="en-GB" w:eastAsia="de-AT"/>
        </w:rPr>
        <w:t>Gebirge</w:t>
      </w:r>
      <w:proofErr w:type="spellEnd"/>
      <w:r>
        <w:rPr>
          <w:rFonts w:eastAsia="Times New Roman" w:cstheme="minorHAnsi"/>
          <w:szCs w:val="20"/>
          <w:lang w:val="en-GB" w:eastAsia="de-AT"/>
        </w:rPr>
        <w:t>, Austria. The product portfolio comprises products and solutions for heating, cooling, ventilation, air</w:t>
      </w:r>
      <w:r w:rsidR="007B502C">
        <w:rPr>
          <w:rFonts w:eastAsia="Times New Roman" w:cstheme="minorHAnsi"/>
          <w:szCs w:val="20"/>
          <w:lang w:val="en-GB" w:eastAsia="de-AT"/>
        </w:rPr>
        <w:t xml:space="preserve"> </w:t>
      </w:r>
      <w:r>
        <w:rPr>
          <w:rFonts w:eastAsia="Times New Roman" w:cstheme="minorHAnsi"/>
          <w:szCs w:val="20"/>
          <w:lang w:val="en-GB" w:eastAsia="de-AT"/>
        </w:rPr>
        <w:t>conditioning and refrigeration. Roughly 230 employees are in charge of the sales and service activities in 15 countries in Central- and Eastern Europe (Austria, Czech Republic, Slovakia, Hungary, Romania, Bulgaria, Moldavia, Slovenia, Serbia, Croatia, Bosnia &amp; Herzegovina, Macedonia, Montenegro, Kosovo, Albania).</w:t>
      </w:r>
    </w:p>
    <w:p w:rsidR="00321C97" w:rsidRPr="00321C97" w:rsidRDefault="00321C97" w:rsidP="00321C97">
      <w:pPr>
        <w:pStyle w:val="Heading4"/>
        <w:numPr>
          <w:ilvl w:val="0"/>
          <w:numId w:val="0"/>
        </w:numPr>
        <w:rPr>
          <w:b w:val="0"/>
        </w:rPr>
      </w:pPr>
      <w:proofErr w:type="gramStart"/>
      <w:r w:rsidRPr="00321C97">
        <w:rPr>
          <w:b w:val="0"/>
        </w:rPr>
        <w:t>About Daikin Europe N.V.</w:t>
      </w:r>
      <w:proofErr w:type="gramEnd"/>
    </w:p>
    <w:p w:rsidR="00321C97" w:rsidRPr="00321C97" w:rsidRDefault="00321C97" w:rsidP="007B502C">
      <w:pPr>
        <w:pStyle w:val="TEXT-Boilerplateandcontact"/>
        <w:spacing w:before="200" w:after="0" w:line="360" w:lineRule="auto"/>
        <w:rPr>
          <w:rFonts w:asciiTheme="minorHAnsi" w:hAnsiTheme="minorHAnsi"/>
        </w:rPr>
      </w:pPr>
      <w:r w:rsidRPr="00321C97">
        <w:rPr>
          <w:rFonts w:asciiTheme="minorHAnsi" w:hAnsiTheme="minorHAnsi"/>
        </w:rPr>
        <w:t>Daikin Europe N.V. is a wholly-owned subsidiary of Daikin Industries Limited and a major European producer of air conditioners, heating systems and refrigeration equipment, with approximately 6946 employees throughout Europe and major manufacturing facilities based in Belgium, the Czech Republic, Germany, Italy, Turkey and the UK.</w:t>
      </w:r>
    </w:p>
    <w:p w:rsidR="00321C97" w:rsidRDefault="00321C97" w:rsidP="007B502C">
      <w:pPr>
        <w:pStyle w:val="TEXT-Boilerplateandcontact"/>
        <w:spacing w:before="200" w:after="0" w:line="360" w:lineRule="auto"/>
        <w:rPr>
          <w:rFonts w:asciiTheme="minorHAnsi" w:hAnsiTheme="minorHAnsi"/>
        </w:rPr>
      </w:pPr>
      <w:r w:rsidRPr="00321C97">
        <w:rPr>
          <w:rFonts w:asciiTheme="minorHAnsi" w:hAnsiTheme="minorHAnsi"/>
        </w:rPr>
        <w:t>Globally, Daikin is renowned for its pioneering approach to product development and the unrivalled quality and versatility of its integrated solutions. With more than 90 years’ experience in the design and manufacture of heating and cooling technologies, Daikin is a market leader in heat pump technology.</w:t>
      </w:r>
    </w:p>
    <w:p w:rsidR="00321C97" w:rsidRDefault="00321C97" w:rsidP="00321C97">
      <w:pPr>
        <w:pStyle w:val="TEXT-Boilerplateandcontact"/>
        <w:rPr>
          <w:rFonts w:asciiTheme="minorHAnsi" w:hAnsiTheme="minorHAnsi"/>
        </w:rPr>
      </w:pPr>
    </w:p>
    <w:p w:rsidR="00321C97" w:rsidRPr="00321C97" w:rsidRDefault="00321C97" w:rsidP="00321C97">
      <w:pPr>
        <w:pStyle w:val="Subheadline"/>
        <w:spacing w:after="60"/>
        <w:rPr>
          <w:rFonts w:asciiTheme="minorHAnsi" w:eastAsia="MS Mincho" w:hAnsiTheme="minorHAnsi" w:cs="Times New Roman"/>
          <w:b w:val="0"/>
          <w:bCs/>
          <w:color w:val="5F5F5F" w:themeColor="background2"/>
          <w:sz w:val="22"/>
          <w:szCs w:val="26"/>
          <w:lang w:val="en-GB" w:eastAsia="en-US"/>
        </w:rPr>
      </w:pPr>
      <w:r w:rsidRPr="00321C97">
        <w:rPr>
          <w:rFonts w:asciiTheme="minorHAnsi" w:eastAsia="MS Mincho" w:hAnsiTheme="minorHAnsi" w:cs="Times New Roman"/>
          <w:b w:val="0"/>
          <w:bCs/>
          <w:color w:val="5F5F5F" w:themeColor="background2"/>
          <w:sz w:val="22"/>
          <w:szCs w:val="26"/>
          <w:lang w:val="en-GB" w:eastAsia="en-US"/>
        </w:rPr>
        <w:t xml:space="preserve">Press contact: </w:t>
      </w:r>
    </w:p>
    <w:p w:rsidR="00321C97" w:rsidRPr="00321C97"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321C97">
        <w:rPr>
          <w:rFonts w:asciiTheme="minorHAnsi" w:hAnsiTheme="minorHAnsi" w:cstheme="minorHAnsi"/>
          <w:sz w:val="18"/>
          <w:szCs w:val="20"/>
          <w:lang w:val="en-GB"/>
        </w:rPr>
        <w:t>Marijke Slijkhuis</w:t>
      </w:r>
    </w:p>
    <w:p w:rsidR="00321C97" w:rsidRPr="00321C97"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321C97">
        <w:rPr>
          <w:rFonts w:asciiTheme="minorHAnsi" w:hAnsiTheme="minorHAnsi" w:cstheme="minorHAnsi"/>
          <w:sz w:val="18"/>
          <w:szCs w:val="20"/>
          <w:lang w:val="en-GB"/>
        </w:rPr>
        <w:t xml:space="preserve">Marketing &amp; Communication, Daikin </w:t>
      </w:r>
      <w:proofErr w:type="spellStart"/>
      <w:r w:rsidRPr="00321C97">
        <w:rPr>
          <w:rFonts w:asciiTheme="minorHAnsi" w:hAnsiTheme="minorHAnsi" w:cstheme="minorHAnsi"/>
          <w:sz w:val="18"/>
          <w:szCs w:val="20"/>
          <w:lang w:val="en-GB"/>
        </w:rPr>
        <w:t>Airconditioning</w:t>
      </w:r>
      <w:proofErr w:type="spellEnd"/>
      <w:r w:rsidRPr="00321C97">
        <w:rPr>
          <w:rFonts w:asciiTheme="minorHAnsi" w:hAnsiTheme="minorHAnsi" w:cstheme="minorHAnsi"/>
          <w:sz w:val="18"/>
          <w:szCs w:val="20"/>
          <w:lang w:val="en-GB"/>
        </w:rPr>
        <w:t xml:space="preserve"> Central Europe </w:t>
      </w:r>
      <w:proofErr w:type="spellStart"/>
      <w:r w:rsidRPr="00321C97">
        <w:rPr>
          <w:rFonts w:asciiTheme="minorHAnsi" w:hAnsiTheme="minorHAnsi" w:cstheme="minorHAnsi"/>
          <w:sz w:val="18"/>
          <w:szCs w:val="20"/>
          <w:lang w:val="en-GB"/>
        </w:rPr>
        <w:t>HandelsgmbH</w:t>
      </w:r>
      <w:proofErr w:type="spellEnd"/>
    </w:p>
    <w:p w:rsidR="00321C97" w:rsidRPr="00D646C4" w:rsidRDefault="00321C97" w:rsidP="00321C97">
      <w:pPr>
        <w:pStyle w:val="NormalWeb"/>
        <w:spacing w:before="0" w:beforeAutospacing="0" w:after="0" w:afterAutospacing="0" w:line="260" w:lineRule="exact"/>
        <w:rPr>
          <w:rFonts w:asciiTheme="minorHAnsi" w:hAnsiTheme="minorHAnsi" w:cstheme="minorHAnsi"/>
          <w:sz w:val="18"/>
          <w:szCs w:val="20"/>
          <w:lang w:val="de-AT"/>
        </w:rPr>
      </w:pPr>
      <w:r w:rsidRPr="00D646C4">
        <w:rPr>
          <w:rFonts w:asciiTheme="minorHAnsi" w:hAnsiTheme="minorHAnsi" w:cstheme="minorHAnsi"/>
          <w:sz w:val="18"/>
          <w:szCs w:val="20"/>
          <w:lang w:val="de-AT"/>
        </w:rPr>
        <w:t xml:space="preserve">Tel.: 43 (0)2236 32557-175 </w:t>
      </w:r>
    </w:p>
    <w:p w:rsidR="00321C97" w:rsidRPr="00D646C4" w:rsidRDefault="00321C97" w:rsidP="00321C97">
      <w:pPr>
        <w:pStyle w:val="NormalWeb"/>
        <w:spacing w:before="0" w:beforeAutospacing="0" w:after="0" w:afterAutospacing="0" w:line="260" w:lineRule="exact"/>
        <w:rPr>
          <w:rFonts w:asciiTheme="minorHAnsi" w:hAnsiTheme="minorHAnsi" w:cstheme="minorHAnsi"/>
          <w:sz w:val="18"/>
          <w:szCs w:val="20"/>
          <w:lang w:val="de-AT"/>
        </w:rPr>
      </w:pPr>
      <w:r w:rsidRPr="00D646C4">
        <w:rPr>
          <w:rFonts w:asciiTheme="minorHAnsi" w:hAnsiTheme="minorHAnsi" w:cstheme="minorHAnsi"/>
          <w:sz w:val="18"/>
          <w:szCs w:val="20"/>
          <w:lang w:val="de-AT"/>
        </w:rPr>
        <w:t>Mail: slijkhuis.m@daikin.at</w:t>
      </w:r>
    </w:p>
    <w:p w:rsidR="00321C97" w:rsidRPr="00B85B9C" w:rsidRDefault="00321C97" w:rsidP="006970EE">
      <w:pPr>
        <w:pStyle w:val="NormalWeb"/>
        <w:spacing w:before="0" w:beforeAutospacing="0" w:after="0" w:afterAutospacing="0" w:line="260" w:lineRule="exact"/>
        <w:rPr>
          <w:rFonts w:asciiTheme="minorHAnsi" w:hAnsiTheme="minorHAnsi" w:cs="Arial"/>
          <w:lang w:val="de-AT"/>
        </w:rPr>
      </w:pPr>
      <w:proofErr w:type="spellStart"/>
      <w:r w:rsidRPr="00B85B9C">
        <w:rPr>
          <w:rFonts w:asciiTheme="minorHAnsi" w:hAnsiTheme="minorHAnsi" w:cstheme="minorHAnsi"/>
          <w:sz w:val="18"/>
          <w:szCs w:val="20"/>
          <w:lang w:val="de-AT"/>
        </w:rPr>
        <w:t>campus</w:t>
      </w:r>
      <w:proofErr w:type="spellEnd"/>
      <w:r w:rsidRPr="00B85B9C">
        <w:rPr>
          <w:rFonts w:asciiTheme="minorHAnsi" w:hAnsiTheme="minorHAnsi" w:cstheme="minorHAnsi"/>
          <w:sz w:val="18"/>
          <w:szCs w:val="20"/>
          <w:lang w:val="de-AT"/>
        </w:rPr>
        <w:t xml:space="preserve"> 21, Europaring F12/402, 2345 Brunn am Gebirge, Austria  </w:t>
      </w:r>
    </w:p>
    <w:sectPr w:rsidR="00321C97" w:rsidRPr="00B85B9C" w:rsidSect="00321C97">
      <w:headerReference w:type="default" r:id="rId10"/>
      <w:footerReference w:type="default" r:id="rId11"/>
      <w:pgSz w:w="11907" w:h="16839" w:code="9"/>
      <w:pgMar w:top="1417" w:right="1417" w:bottom="1134" w:left="1417" w:header="45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C97" w:rsidRDefault="00321C97" w:rsidP="000C65B2">
      <w:pPr>
        <w:spacing w:after="0" w:line="240" w:lineRule="auto"/>
      </w:pPr>
      <w:r>
        <w:separator/>
      </w:r>
    </w:p>
  </w:endnote>
  <w:endnote w:type="continuationSeparator" w:id="0">
    <w:p w:rsidR="00321C97" w:rsidRDefault="00321C97" w:rsidP="000C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00C" w:rsidRDefault="00C7000C" w:rsidP="005250A2">
    <w:pPr>
      <w:pStyle w:val="Footer"/>
      <w:ind w:hanging="1440"/>
      <w:rPr>
        <w:noProof/>
      </w:rPr>
    </w:pPr>
  </w:p>
  <w:p w:rsidR="005250A2" w:rsidRDefault="00C7000C" w:rsidP="00B44556">
    <w:pPr>
      <w:pStyle w:val="Footer"/>
      <w:ind w:hanging="720"/>
    </w:pPr>
    <w:r>
      <w:rPr>
        <w:noProof/>
        <w:lang w:val="en-GB" w:eastAsia="ja-JP"/>
      </w:rPr>
      <w:drawing>
        <wp:anchor distT="0" distB="0" distL="114300" distR="114300" simplePos="0" relativeHeight="251658240" behindDoc="1" locked="0" layoutInCell="1" allowOverlap="1">
          <wp:simplePos x="0" y="0"/>
          <wp:positionH relativeFrom="column">
            <wp:posOffset>-458470</wp:posOffset>
          </wp:positionH>
          <wp:positionV relativeFrom="paragraph">
            <wp:posOffset>-1207135</wp:posOffset>
          </wp:positionV>
          <wp:extent cx="7562850" cy="1346835"/>
          <wp:effectExtent l="0" t="0" r="0" b="5715"/>
          <wp:wrapThrough wrapText="bothSides">
            <wp:wrapPolygon edited="0">
              <wp:start x="0" y="0"/>
              <wp:lineTo x="0" y="21386"/>
              <wp:lineTo x="21546" y="21386"/>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footer-city-small_no-site.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346835"/>
                  </a:xfrm>
                  <a:prstGeom prst="rect">
                    <a:avLst/>
                  </a:prstGeom>
                </pic:spPr>
              </pic:pic>
            </a:graphicData>
          </a:graphic>
          <wp14:sizeRelH relativeFrom="page">
            <wp14:pctWidth>0</wp14:pctWidth>
          </wp14:sizeRelH>
          <wp14:sizeRelV relativeFrom="page">
            <wp14:pctHeight>0</wp14:pctHeight>
          </wp14:sizeRelV>
        </wp:anchor>
      </w:drawing>
    </w:r>
  </w:p>
  <w:p w:rsidR="005250A2" w:rsidRDefault="005250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C97" w:rsidRDefault="00321C97" w:rsidP="000C65B2">
      <w:pPr>
        <w:spacing w:after="0" w:line="240" w:lineRule="auto"/>
      </w:pPr>
      <w:r>
        <w:separator/>
      </w:r>
    </w:p>
  </w:footnote>
  <w:footnote w:type="continuationSeparator" w:id="0">
    <w:p w:rsidR="00321C97" w:rsidRDefault="00321C97" w:rsidP="000C65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049" w:rsidRPr="00D54049" w:rsidRDefault="00D54049" w:rsidP="00330ABB">
    <w:pPr>
      <w:pStyle w:val="Header"/>
      <w:tabs>
        <w:tab w:val="clear" w:pos="9026"/>
        <w:tab w:val="left" w:pos="0"/>
        <w:tab w:val="right" w:pos="9810"/>
      </w:tabs>
      <w:ind w:right="-783"/>
      <w:jc w:val="right"/>
      <w:rPr>
        <w:sz w:val="16"/>
      </w:rPr>
    </w:pPr>
  </w:p>
  <w:tbl>
    <w:tblPr>
      <w:tblStyle w:val="TableGrid"/>
      <w:tblW w:w="9822" w:type="dxa"/>
      <w:tblInd w:w="-612" w:type="dxa"/>
      <w:tblBorders>
        <w:top w:val="single" w:sz="4" w:space="0" w:color="FFFFFF" w:themeColor="text1"/>
        <w:left w:val="single" w:sz="4" w:space="0" w:color="FFFFFF" w:themeColor="text1"/>
        <w:bottom w:val="single" w:sz="4" w:space="0" w:color="FFFFFF" w:themeColor="text1"/>
        <w:right w:val="single" w:sz="4" w:space="0" w:color="FFFFFF" w:themeColor="text1"/>
        <w:insideH w:val="single" w:sz="4" w:space="0" w:color="FFFFFF" w:themeColor="text1"/>
        <w:insideV w:val="single" w:sz="4" w:space="0" w:color="FFFFFF" w:themeColor="text1"/>
      </w:tblBorders>
      <w:tblLook w:val="04A0" w:firstRow="1" w:lastRow="0" w:firstColumn="1" w:lastColumn="0" w:noHBand="0" w:noVBand="1"/>
    </w:tblPr>
    <w:tblGrid>
      <w:gridCol w:w="4681"/>
      <w:gridCol w:w="5141"/>
    </w:tblGrid>
    <w:tr w:rsidR="00FC3E62" w:rsidTr="006970EE">
      <w:trPr>
        <w:trHeight w:val="907"/>
      </w:trPr>
      <w:tc>
        <w:tcPr>
          <w:tcW w:w="4681" w:type="dxa"/>
          <w:vMerge w:val="restart"/>
        </w:tcPr>
        <w:p w:rsidR="00FC3E62" w:rsidRDefault="006970EE" w:rsidP="00321C97">
          <w:pPr>
            <w:pStyle w:val="Header"/>
          </w:pPr>
          <w:r w:rsidRPr="00D54049">
            <w:rPr>
              <w:noProof/>
              <w:sz w:val="16"/>
              <w:lang w:val="en-GB" w:eastAsia="ja-JP"/>
            </w:rPr>
            <w:drawing>
              <wp:anchor distT="0" distB="0" distL="114300" distR="114300" simplePos="0" relativeHeight="251659264" behindDoc="1" locked="0" layoutInCell="1" allowOverlap="1" wp14:anchorId="5C27AE7A" wp14:editId="795D590E">
                <wp:simplePos x="0" y="0"/>
                <wp:positionH relativeFrom="column">
                  <wp:posOffset>328930</wp:posOffset>
                </wp:positionH>
                <wp:positionV relativeFrom="paragraph">
                  <wp:posOffset>130810</wp:posOffset>
                </wp:positionV>
                <wp:extent cx="1524000" cy="323850"/>
                <wp:effectExtent l="0" t="0" r="0" b="0"/>
                <wp:wrapTight wrapText="bothSides">
                  <wp:wrapPolygon edited="0">
                    <wp:start x="0" y="0"/>
                    <wp:lineTo x="0" y="20329"/>
                    <wp:lineTo x="21330" y="20329"/>
                    <wp:lineTo x="21330" y="0"/>
                    <wp:lineTo x="0" y="0"/>
                  </wp:wrapPolygon>
                </wp:wrapTight>
                <wp:docPr id="6" name="Picture 6" descr="logo_for_wor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or_word_"/>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4444"/>
                        <a:stretch/>
                      </pic:blipFill>
                      <pic:spPr bwMode="auto">
                        <a:xfrm>
                          <a:off x="0" y="0"/>
                          <a:ext cx="1524000" cy="32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141" w:type="dxa"/>
          <w:vAlign w:val="center"/>
        </w:tcPr>
        <w:p w:rsidR="006970EE" w:rsidRDefault="006970EE" w:rsidP="00330ABB">
          <w:pPr>
            <w:pStyle w:val="Header"/>
            <w:tabs>
              <w:tab w:val="clear" w:pos="4513"/>
            </w:tabs>
            <w:ind w:right="-18"/>
            <w:jc w:val="right"/>
            <w:rPr>
              <w:color w:val="5F5F5F" w:themeColor="background2"/>
              <w:sz w:val="28"/>
            </w:rPr>
          </w:pPr>
        </w:p>
        <w:p w:rsidR="00FC3E62" w:rsidRDefault="00321C97" w:rsidP="00330ABB">
          <w:pPr>
            <w:pStyle w:val="Header"/>
            <w:tabs>
              <w:tab w:val="clear" w:pos="4513"/>
            </w:tabs>
            <w:ind w:right="-18"/>
            <w:jc w:val="right"/>
          </w:pPr>
          <w:r w:rsidRPr="00321C97">
            <w:rPr>
              <w:color w:val="5F5F5F" w:themeColor="background2"/>
              <w:sz w:val="28"/>
            </w:rPr>
            <w:t>PRESS RELEASE</w:t>
          </w:r>
        </w:p>
      </w:tc>
    </w:tr>
    <w:tr w:rsidR="00FC3E62" w:rsidTr="006970EE">
      <w:trPr>
        <w:trHeight w:val="159"/>
      </w:trPr>
      <w:tc>
        <w:tcPr>
          <w:tcW w:w="4681" w:type="dxa"/>
          <w:vMerge/>
        </w:tcPr>
        <w:p w:rsidR="00FC3E62" w:rsidRDefault="00FC3E62" w:rsidP="00FC3E62">
          <w:pPr>
            <w:pStyle w:val="Header"/>
            <w:ind w:hanging="108"/>
          </w:pPr>
        </w:p>
      </w:tc>
      <w:tc>
        <w:tcPr>
          <w:tcW w:w="5141" w:type="dxa"/>
        </w:tcPr>
        <w:p w:rsidR="00FC3E62" w:rsidRPr="00FC3E62" w:rsidRDefault="00B85B9C" w:rsidP="00FC3E62">
          <w:pPr>
            <w:pStyle w:val="Footer"/>
            <w:jc w:val="right"/>
            <w:rPr>
              <w:rFonts w:eastAsiaTheme="majorEastAsia" w:cstheme="majorBidi"/>
              <w:color w:val="5F5F5F" w:themeColor="background2"/>
              <w:sz w:val="16"/>
              <w:szCs w:val="16"/>
            </w:rPr>
          </w:pPr>
          <w:r>
            <w:rPr>
              <w:color w:val="5F5F5F" w:themeColor="background2"/>
              <w:sz w:val="16"/>
              <w:szCs w:val="16"/>
            </w:rPr>
            <w:t xml:space="preserve">Page </w:t>
          </w:r>
          <w:r w:rsidR="00FC3E62" w:rsidRPr="00FC3E62">
            <w:rPr>
              <w:color w:val="5F5F5F" w:themeColor="background2"/>
              <w:sz w:val="16"/>
              <w:szCs w:val="16"/>
            </w:rPr>
            <w:fldChar w:fldCharType="begin"/>
          </w:r>
          <w:r w:rsidR="00FC3E62" w:rsidRPr="00FC3E62">
            <w:rPr>
              <w:color w:val="5F5F5F" w:themeColor="background2"/>
              <w:sz w:val="16"/>
              <w:szCs w:val="16"/>
            </w:rPr>
            <w:instrText xml:space="preserve"> PAGE    \* MERGEFORMAT </w:instrText>
          </w:r>
          <w:r w:rsidR="00FC3E62" w:rsidRPr="00FC3E62">
            <w:rPr>
              <w:color w:val="5F5F5F" w:themeColor="background2"/>
              <w:sz w:val="16"/>
              <w:szCs w:val="16"/>
            </w:rPr>
            <w:fldChar w:fldCharType="separate"/>
          </w:r>
          <w:r w:rsidR="000028DF" w:rsidRPr="000028DF">
            <w:rPr>
              <w:rFonts w:eastAsiaTheme="majorEastAsia" w:cstheme="majorBidi"/>
              <w:noProof/>
              <w:color w:val="5F5F5F" w:themeColor="background2"/>
              <w:sz w:val="16"/>
              <w:szCs w:val="16"/>
            </w:rPr>
            <w:t>1</w:t>
          </w:r>
          <w:r w:rsidR="00FC3E62" w:rsidRPr="00FC3E62">
            <w:rPr>
              <w:rFonts w:eastAsiaTheme="majorEastAsia" w:cstheme="majorBidi"/>
              <w:noProof/>
              <w:color w:val="5F5F5F" w:themeColor="background2"/>
              <w:sz w:val="16"/>
              <w:szCs w:val="16"/>
            </w:rPr>
            <w:fldChar w:fldCharType="end"/>
          </w:r>
        </w:p>
      </w:tc>
    </w:tr>
  </w:tbl>
  <w:p w:rsidR="00A419DD" w:rsidRDefault="00A419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062686"/>
    <w:multiLevelType w:val="hybridMultilevel"/>
    <w:tmpl w:val="5066B21A"/>
    <w:lvl w:ilvl="0" w:tplc="5254CC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540376A"/>
    <w:multiLevelType w:val="hybridMultilevel"/>
    <w:tmpl w:val="EA1AAE4C"/>
    <w:lvl w:ilvl="0" w:tplc="D2BC170E">
      <w:numFmt w:val="bullet"/>
      <w:lvlText w:val="-"/>
      <w:lvlJc w:val="left"/>
      <w:pPr>
        <w:ind w:left="720" w:hanging="360"/>
      </w:pPr>
      <w:rPr>
        <w:rFonts w:ascii="Helv" w:eastAsiaTheme="minorEastAsia" w:hAnsi="Helv" w:cs="Helv"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7AF7C5B"/>
    <w:multiLevelType w:val="hybridMultilevel"/>
    <w:tmpl w:val="006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A5A32EC"/>
    <w:multiLevelType w:val="multilevel"/>
    <w:tmpl w:val="E812BF2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nsid w:val="7EB664F2"/>
    <w:multiLevelType w:val="hybridMultilevel"/>
    <w:tmpl w:val="EF16E7C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 w:numId="6">
    <w:abstractNumId w:val="3"/>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hyphenationZone w:val="425"/>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C97"/>
    <w:rsid w:val="000028DF"/>
    <w:rsid w:val="00012A26"/>
    <w:rsid w:val="0002718E"/>
    <w:rsid w:val="00032BAB"/>
    <w:rsid w:val="00034675"/>
    <w:rsid w:val="0005346B"/>
    <w:rsid w:val="000551D5"/>
    <w:rsid w:val="00055966"/>
    <w:rsid w:val="00063F4C"/>
    <w:rsid w:val="000656FF"/>
    <w:rsid w:val="00077AD3"/>
    <w:rsid w:val="000A7D2F"/>
    <w:rsid w:val="000B6BD3"/>
    <w:rsid w:val="000C11B9"/>
    <w:rsid w:val="000C5AEB"/>
    <w:rsid w:val="000C65B2"/>
    <w:rsid w:val="000D1C07"/>
    <w:rsid w:val="000F6F8D"/>
    <w:rsid w:val="001052F1"/>
    <w:rsid w:val="00111112"/>
    <w:rsid w:val="00111767"/>
    <w:rsid w:val="00126D35"/>
    <w:rsid w:val="001374D4"/>
    <w:rsid w:val="00146C07"/>
    <w:rsid w:val="00150B88"/>
    <w:rsid w:val="00153BC4"/>
    <w:rsid w:val="00175EAB"/>
    <w:rsid w:val="001855AF"/>
    <w:rsid w:val="00185D2A"/>
    <w:rsid w:val="001A4A43"/>
    <w:rsid w:val="001C36CE"/>
    <w:rsid w:val="001C45F0"/>
    <w:rsid w:val="001C50CA"/>
    <w:rsid w:val="001E09ED"/>
    <w:rsid w:val="001F1648"/>
    <w:rsid w:val="00203538"/>
    <w:rsid w:val="00216755"/>
    <w:rsid w:val="00257D4E"/>
    <w:rsid w:val="0026092F"/>
    <w:rsid w:val="00276E2E"/>
    <w:rsid w:val="00290B0C"/>
    <w:rsid w:val="002A1789"/>
    <w:rsid w:val="002A2BE5"/>
    <w:rsid w:val="002C788C"/>
    <w:rsid w:val="002E1371"/>
    <w:rsid w:val="002E68F4"/>
    <w:rsid w:val="0030354B"/>
    <w:rsid w:val="003066D0"/>
    <w:rsid w:val="00321C97"/>
    <w:rsid w:val="00327B35"/>
    <w:rsid w:val="00330ABB"/>
    <w:rsid w:val="00331E9E"/>
    <w:rsid w:val="00332661"/>
    <w:rsid w:val="00333EA4"/>
    <w:rsid w:val="00345EDE"/>
    <w:rsid w:val="0035632C"/>
    <w:rsid w:val="0035723A"/>
    <w:rsid w:val="00357741"/>
    <w:rsid w:val="00363414"/>
    <w:rsid w:val="00375FEF"/>
    <w:rsid w:val="00384EB9"/>
    <w:rsid w:val="003951F0"/>
    <w:rsid w:val="0039650B"/>
    <w:rsid w:val="00396EAD"/>
    <w:rsid w:val="00397967"/>
    <w:rsid w:val="00397AF0"/>
    <w:rsid w:val="003A3CC5"/>
    <w:rsid w:val="003A3FBE"/>
    <w:rsid w:val="003B5634"/>
    <w:rsid w:val="003B671C"/>
    <w:rsid w:val="003D699D"/>
    <w:rsid w:val="003D7295"/>
    <w:rsid w:val="003E1AE9"/>
    <w:rsid w:val="003F4901"/>
    <w:rsid w:val="00400866"/>
    <w:rsid w:val="00406228"/>
    <w:rsid w:val="004122B7"/>
    <w:rsid w:val="0041780C"/>
    <w:rsid w:val="004278DB"/>
    <w:rsid w:val="00436F6C"/>
    <w:rsid w:val="004408C0"/>
    <w:rsid w:val="00452601"/>
    <w:rsid w:val="004669A3"/>
    <w:rsid w:val="00471687"/>
    <w:rsid w:val="00475D0E"/>
    <w:rsid w:val="00475EC3"/>
    <w:rsid w:val="00491B3B"/>
    <w:rsid w:val="004A7AA8"/>
    <w:rsid w:val="004C2489"/>
    <w:rsid w:val="004C4C87"/>
    <w:rsid w:val="004D47A7"/>
    <w:rsid w:val="004D723E"/>
    <w:rsid w:val="004E66FE"/>
    <w:rsid w:val="004F2588"/>
    <w:rsid w:val="004F5BF7"/>
    <w:rsid w:val="00522446"/>
    <w:rsid w:val="005250A2"/>
    <w:rsid w:val="00531EBF"/>
    <w:rsid w:val="005343EB"/>
    <w:rsid w:val="0054553C"/>
    <w:rsid w:val="00560070"/>
    <w:rsid w:val="00563CA8"/>
    <w:rsid w:val="0058361C"/>
    <w:rsid w:val="005856CC"/>
    <w:rsid w:val="00591880"/>
    <w:rsid w:val="005B2ACB"/>
    <w:rsid w:val="005B48B9"/>
    <w:rsid w:val="005B7480"/>
    <w:rsid w:val="005B7930"/>
    <w:rsid w:val="006009B6"/>
    <w:rsid w:val="00606360"/>
    <w:rsid w:val="006423F2"/>
    <w:rsid w:val="0066255B"/>
    <w:rsid w:val="00685F0D"/>
    <w:rsid w:val="00693DC0"/>
    <w:rsid w:val="006970EE"/>
    <w:rsid w:val="006D533C"/>
    <w:rsid w:val="006E3B03"/>
    <w:rsid w:val="006E441D"/>
    <w:rsid w:val="006E5B79"/>
    <w:rsid w:val="006E7698"/>
    <w:rsid w:val="006F58A2"/>
    <w:rsid w:val="007004E9"/>
    <w:rsid w:val="0071291E"/>
    <w:rsid w:val="007145EE"/>
    <w:rsid w:val="0071740C"/>
    <w:rsid w:val="00723CB7"/>
    <w:rsid w:val="00743631"/>
    <w:rsid w:val="00781ADD"/>
    <w:rsid w:val="007908F9"/>
    <w:rsid w:val="00797F32"/>
    <w:rsid w:val="007A521D"/>
    <w:rsid w:val="007B2CDF"/>
    <w:rsid w:val="007B502C"/>
    <w:rsid w:val="00805CEA"/>
    <w:rsid w:val="00835742"/>
    <w:rsid w:val="00835BEB"/>
    <w:rsid w:val="00844E38"/>
    <w:rsid w:val="00863405"/>
    <w:rsid w:val="008760AB"/>
    <w:rsid w:val="00885DD1"/>
    <w:rsid w:val="008D1149"/>
    <w:rsid w:val="008D133B"/>
    <w:rsid w:val="008D3159"/>
    <w:rsid w:val="008E167D"/>
    <w:rsid w:val="008E507F"/>
    <w:rsid w:val="008E5E9E"/>
    <w:rsid w:val="009000D2"/>
    <w:rsid w:val="0093552D"/>
    <w:rsid w:val="00941C57"/>
    <w:rsid w:val="009421C2"/>
    <w:rsid w:val="00943D25"/>
    <w:rsid w:val="00961EE8"/>
    <w:rsid w:val="00974C50"/>
    <w:rsid w:val="00975C8B"/>
    <w:rsid w:val="009919D7"/>
    <w:rsid w:val="009A4946"/>
    <w:rsid w:val="009C1545"/>
    <w:rsid w:val="009D2FA7"/>
    <w:rsid w:val="009D73A6"/>
    <w:rsid w:val="009E70E1"/>
    <w:rsid w:val="009F2DD4"/>
    <w:rsid w:val="009F33E3"/>
    <w:rsid w:val="00A02DDE"/>
    <w:rsid w:val="00A03C09"/>
    <w:rsid w:val="00A13EB4"/>
    <w:rsid w:val="00A16263"/>
    <w:rsid w:val="00A20EEE"/>
    <w:rsid w:val="00A24903"/>
    <w:rsid w:val="00A30686"/>
    <w:rsid w:val="00A32689"/>
    <w:rsid w:val="00A37792"/>
    <w:rsid w:val="00A419DD"/>
    <w:rsid w:val="00A426B3"/>
    <w:rsid w:val="00A47D78"/>
    <w:rsid w:val="00A519B3"/>
    <w:rsid w:val="00A52469"/>
    <w:rsid w:val="00A57EBF"/>
    <w:rsid w:val="00A60E1B"/>
    <w:rsid w:val="00A71560"/>
    <w:rsid w:val="00A741EE"/>
    <w:rsid w:val="00A7577D"/>
    <w:rsid w:val="00A83206"/>
    <w:rsid w:val="00A83789"/>
    <w:rsid w:val="00A95235"/>
    <w:rsid w:val="00A97A7F"/>
    <w:rsid w:val="00AB245B"/>
    <w:rsid w:val="00AB362D"/>
    <w:rsid w:val="00AB4F85"/>
    <w:rsid w:val="00AE1BC5"/>
    <w:rsid w:val="00AE2181"/>
    <w:rsid w:val="00B26DE8"/>
    <w:rsid w:val="00B32476"/>
    <w:rsid w:val="00B40F0F"/>
    <w:rsid w:val="00B438FA"/>
    <w:rsid w:val="00B44556"/>
    <w:rsid w:val="00B67BB8"/>
    <w:rsid w:val="00B73A9E"/>
    <w:rsid w:val="00B816F4"/>
    <w:rsid w:val="00B85B9C"/>
    <w:rsid w:val="00B870EC"/>
    <w:rsid w:val="00BA5F89"/>
    <w:rsid w:val="00BB6D28"/>
    <w:rsid w:val="00BC73C3"/>
    <w:rsid w:val="00BD0496"/>
    <w:rsid w:val="00BD2756"/>
    <w:rsid w:val="00BD4CA4"/>
    <w:rsid w:val="00C04673"/>
    <w:rsid w:val="00C12068"/>
    <w:rsid w:val="00C50180"/>
    <w:rsid w:val="00C528E2"/>
    <w:rsid w:val="00C55412"/>
    <w:rsid w:val="00C61E6B"/>
    <w:rsid w:val="00C65B32"/>
    <w:rsid w:val="00C7000C"/>
    <w:rsid w:val="00C7423D"/>
    <w:rsid w:val="00C86436"/>
    <w:rsid w:val="00CA6010"/>
    <w:rsid w:val="00CA6FDF"/>
    <w:rsid w:val="00CA7B53"/>
    <w:rsid w:val="00CC7C05"/>
    <w:rsid w:val="00D0294E"/>
    <w:rsid w:val="00D03CC8"/>
    <w:rsid w:val="00D07426"/>
    <w:rsid w:val="00D172CA"/>
    <w:rsid w:val="00D25AF7"/>
    <w:rsid w:val="00D52294"/>
    <w:rsid w:val="00D54049"/>
    <w:rsid w:val="00D644BD"/>
    <w:rsid w:val="00D646C4"/>
    <w:rsid w:val="00D706CB"/>
    <w:rsid w:val="00D71A11"/>
    <w:rsid w:val="00D72766"/>
    <w:rsid w:val="00D96F31"/>
    <w:rsid w:val="00DA120C"/>
    <w:rsid w:val="00DA7016"/>
    <w:rsid w:val="00DB3FBB"/>
    <w:rsid w:val="00DB400F"/>
    <w:rsid w:val="00DC3A21"/>
    <w:rsid w:val="00DD404C"/>
    <w:rsid w:val="00DD58E3"/>
    <w:rsid w:val="00E2594B"/>
    <w:rsid w:val="00E2746A"/>
    <w:rsid w:val="00E3286B"/>
    <w:rsid w:val="00E33D84"/>
    <w:rsid w:val="00E3651D"/>
    <w:rsid w:val="00E431DA"/>
    <w:rsid w:val="00E5511B"/>
    <w:rsid w:val="00E55D29"/>
    <w:rsid w:val="00E56013"/>
    <w:rsid w:val="00E64D6C"/>
    <w:rsid w:val="00E827D8"/>
    <w:rsid w:val="00E82A4F"/>
    <w:rsid w:val="00E87AC6"/>
    <w:rsid w:val="00EC24A8"/>
    <w:rsid w:val="00EC32A0"/>
    <w:rsid w:val="00EC5E91"/>
    <w:rsid w:val="00ED6EC1"/>
    <w:rsid w:val="00EF6242"/>
    <w:rsid w:val="00EF7301"/>
    <w:rsid w:val="00F04E2A"/>
    <w:rsid w:val="00F15B86"/>
    <w:rsid w:val="00F21317"/>
    <w:rsid w:val="00F23523"/>
    <w:rsid w:val="00F278A7"/>
    <w:rsid w:val="00F371AA"/>
    <w:rsid w:val="00F377B1"/>
    <w:rsid w:val="00F443BC"/>
    <w:rsid w:val="00F45A6E"/>
    <w:rsid w:val="00F629F1"/>
    <w:rsid w:val="00F70127"/>
    <w:rsid w:val="00F752C7"/>
    <w:rsid w:val="00F87415"/>
    <w:rsid w:val="00F95727"/>
    <w:rsid w:val="00FA2CBB"/>
    <w:rsid w:val="00FB1E2E"/>
    <w:rsid w:val="00FB7F9C"/>
    <w:rsid w:val="00FC3E62"/>
    <w:rsid w:val="00FE34B2"/>
    <w:rsid w:val="00FE51B9"/>
    <w:rsid w:val="00FF55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paragraph" w:customStyle="1" w:styleId="Introduction">
    <w:name w:val="Introduction"/>
    <w:basedOn w:val="Heading2"/>
    <w:link w:val="IntroductionChar"/>
    <w:qFormat/>
    <w:rsid w:val="00C61E6B"/>
    <w:pPr>
      <w:numPr>
        <w:ilvl w:val="0"/>
        <w:numId w:val="0"/>
      </w:numPr>
      <w:spacing w:after="240" w:line="276" w:lineRule="auto"/>
    </w:pPr>
    <w:rPr>
      <w:sz w:val="28"/>
      <w:lang w:eastAsia="ja-JP"/>
    </w:rPr>
  </w:style>
  <w:style w:type="character" w:customStyle="1" w:styleId="IntroductionChar">
    <w:name w:val="Introduction Char"/>
    <w:basedOn w:val="Heading2Char"/>
    <w:link w:val="Introduction"/>
    <w:rsid w:val="00C61E6B"/>
    <w:rPr>
      <w:rFonts w:eastAsia="MS Mincho" w:cs="Times New Roman"/>
      <w:bCs/>
      <w:iCs/>
      <w:color w:val="5F5F5F" w:themeColor="background2"/>
      <w:sz w:val="28"/>
      <w:szCs w:val="28"/>
      <w:lang w:val="en-GB" w:eastAsia="ja-JP"/>
    </w:rPr>
  </w:style>
  <w:style w:type="paragraph" w:customStyle="1" w:styleId="Subheading">
    <w:name w:val="Subheading"/>
    <w:basedOn w:val="Heading4"/>
    <w:link w:val="SubheadingChar"/>
    <w:qFormat/>
    <w:rsid w:val="00C61E6B"/>
    <w:pPr>
      <w:numPr>
        <w:ilvl w:val="0"/>
        <w:numId w:val="0"/>
      </w:numPr>
      <w:spacing w:after="240" w:line="276" w:lineRule="auto"/>
    </w:pPr>
    <w:rPr>
      <w:b w:val="0"/>
      <w:lang w:eastAsia="ja-JP"/>
    </w:rPr>
  </w:style>
  <w:style w:type="character" w:customStyle="1" w:styleId="SubheadingChar">
    <w:name w:val="Subheading Char"/>
    <w:basedOn w:val="Heading4Char"/>
    <w:link w:val="Subheading"/>
    <w:rsid w:val="00C61E6B"/>
    <w:rPr>
      <w:rFonts w:eastAsia="MS Mincho" w:cs="Times New Roman"/>
      <w:b w:val="0"/>
      <w:bCs/>
      <w:color w:val="0083C1" w:themeColor="background1"/>
      <w:sz w:val="24"/>
      <w:szCs w:val="24"/>
      <w:lang w:val="en-GB" w:eastAsia="ja-JP"/>
    </w:rPr>
  </w:style>
  <w:style w:type="paragraph" w:customStyle="1" w:styleId="BodyCopy">
    <w:name w:val="Body Copy"/>
    <w:basedOn w:val="Normal"/>
    <w:link w:val="BodyCopyChar"/>
    <w:qFormat/>
    <w:rsid w:val="00C61E6B"/>
    <w:pPr>
      <w:spacing w:before="120" w:after="120"/>
    </w:pPr>
    <w:rPr>
      <w:sz w:val="22"/>
      <w:lang w:eastAsia="ja-JP"/>
    </w:rPr>
  </w:style>
  <w:style w:type="character" w:customStyle="1" w:styleId="BodyCopyChar">
    <w:name w:val="Body Copy Char"/>
    <w:basedOn w:val="DefaultParagraphFont"/>
    <w:link w:val="BodyCopy"/>
    <w:rsid w:val="00C61E6B"/>
    <w:rPr>
      <w:lang w:eastAsia="ja-JP"/>
    </w:rPr>
  </w:style>
  <w:style w:type="paragraph" w:customStyle="1" w:styleId="Headline0">
    <w:name w:val="Headline"/>
    <w:basedOn w:val="Heading1"/>
    <w:link w:val="HeadlineChar"/>
    <w:qFormat/>
    <w:rsid w:val="000656FF"/>
    <w:pPr>
      <w:numPr>
        <w:numId w:val="0"/>
      </w:numPr>
      <w:spacing w:after="240"/>
    </w:pPr>
    <w:rPr>
      <w:sz w:val="36"/>
      <w:szCs w:val="28"/>
      <w:lang w:eastAsia="ja-JP"/>
    </w:rPr>
  </w:style>
  <w:style w:type="character" w:customStyle="1" w:styleId="HeadlineChar">
    <w:name w:val="Headline Char"/>
    <w:basedOn w:val="Heading1Char"/>
    <w:link w:val="Headline0"/>
    <w:rsid w:val="000656FF"/>
    <w:rPr>
      <w:rFonts w:eastAsia="MS Mincho" w:cs="Times New Roman"/>
      <w:iCs/>
      <w:color w:val="0083C1" w:themeColor="background1"/>
      <w:kern w:val="32"/>
      <w:sz w:val="36"/>
      <w:szCs w:val="28"/>
      <w:lang w:val="en-GB"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paragraph" w:customStyle="1" w:styleId="Introduction">
    <w:name w:val="Introduction"/>
    <w:basedOn w:val="Heading2"/>
    <w:link w:val="IntroductionChar"/>
    <w:qFormat/>
    <w:rsid w:val="00C61E6B"/>
    <w:pPr>
      <w:numPr>
        <w:ilvl w:val="0"/>
        <w:numId w:val="0"/>
      </w:numPr>
      <w:spacing w:after="240" w:line="276" w:lineRule="auto"/>
    </w:pPr>
    <w:rPr>
      <w:sz w:val="28"/>
      <w:lang w:eastAsia="ja-JP"/>
    </w:rPr>
  </w:style>
  <w:style w:type="character" w:customStyle="1" w:styleId="IntroductionChar">
    <w:name w:val="Introduction Char"/>
    <w:basedOn w:val="Heading2Char"/>
    <w:link w:val="Introduction"/>
    <w:rsid w:val="00C61E6B"/>
    <w:rPr>
      <w:rFonts w:eastAsia="MS Mincho" w:cs="Times New Roman"/>
      <w:bCs/>
      <w:iCs/>
      <w:color w:val="5F5F5F" w:themeColor="background2"/>
      <w:sz w:val="28"/>
      <w:szCs w:val="28"/>
      <w:lang w:val="en-GB" w:eastAsia="ja-JP"/>
    </w:rPr>
  </w:style>
  <w:style w:type="paragraph" w:customStyle="1" w:styleId="Subheading">
    <w:name w:val="Subheading"/>
    <w:basedOn w:val="Heading4"/>
    <w:link w:val="SubheadingChar"/>
    <w:qFormat/>
    <w:rsid w:val="00C61E6B"/>
    <w:pPr>
      <w:numPr>
        <w:ilvl w:val="0"/>
        <w:numId w:val="0"/>
      </w:numPr>
      <w:spacing w:after="240" w:line="276" w:lineRule="auto"/>
    </w:pPr>
    <w:rPr>
      <w:b w:val="0"/>
      <w:lang w:eastAsia="ja-JP"/>
    </w:rPr>
  </w:style>
  <w:style w:type="character" w:customStyle="1" w:styleId="SubheadingChar">
    <w:name w:val="Subheading Char"/>
    <w:basedOn w:val="Heading4Char"/>
    <w:link w:val="Subheading"/>
    <w:rsid w:val="00C61E6B"/>
    <w:rPr>
      <w:rFonts w:eastAsia="MS Mincho" w:cs="Times New Roman"/>
      <w:b w:val="0"/>
      <w:bCs/>
      <w:color w:val="0083C1" w:themeColor="background1"/>
      <w:sz w:val="24"/>
      <w:szCs w:val="24"/>
      <w:lang w:val="en-GB" w:eastAsia="ja-JP"/>
    </w:rPr>
  </w:style>
  <w:style w:type="paragraph" w:customStyle="1" w:styleId="BodyCopy">
    <w:name w:val="Body Copy"/>
    <w:basedOn w:val="Normal"/>
    <w:link w:val="BodyCopyChar"/>
    <w:qFormat/>
    <w:rsid w:val="00C61E6B"/>
    <w:pPr>
      <w:spacing w:before="120" w:after="120"/>
    </w:pPr>
    <w:rPr>
      <w:sz w:val="22"/>
      <w:lang w:eastAsia="ja-JP"/>
    </w:rPr>
  </w:style>
  <w:style w:type="character" w:customStyle="1" w:styleId="BodyCopyChar">
    <w:name w:val="Body Copy Char"/>
    <w:basedOn w:val="DefaultParagraphFont"/>
    <w:link w:val="BodyCopy"/>
    <w:rsid w:val="00C61E6B"/>
    <w:rPr>
      <w:lang w:eastAsia="ja-JP"/>
    </w:rPr>
  </w:style>
  <w:style w:type="paragraph" w:customStyle="1" w:styleId="Headline0">
    <w:name w:val="Headline"/>
    <w:basedOn w:val="Heading1"/>
    <w:link w:val="HeadlineChar"/>
    <w:qFormat/>
    <w:rsid w:val="000656FF"/>
    <w:pPr>
      <w:numPr>
        <w:numId w:val="0"/>
      </w:numPr>
      <w:spacing w:after="240"/>
    </w:pPr>
    <w:rPr>
      <w:sz w:val="36"/>
      <w:szCs w:val="28"/>
      <w:lang w:eastAsia="ja-JP"/>
    </w:rPr>
  </w:style>
  <w:style w:type="character" w:customStyle="1" w:styleId="HeadlineChar">
    <w:name w:val="Headline Char"/>
    <w:basedOn w:val="Heading1Char"/>
    <w:link w:val="Headline0"/>
    <w:rsid w:val="000656FF"/>
    <w:rPr>
      <w:rFonts w:eastAsia="MS Mincho" w:cs="Times New Roman"/>
      <w:iCs/>
      <w:color w:val="0083C1" w:themeColor="background1"/>
      <w:kern w:val="32"/>
      <w:sz w:val="36"/>
      <w:szCs w:val="28"/>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557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daikin-ce.com/en_us/area-of-expertise/ventilation.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0348\AppData\Roaming\Microsoft\Templates\Daikin_template_2016.dotx" TargetMode="External"/></Relationships>
</file>

<file path=word/theme/theme1.xml><?xml version="1.0" encoding="utf-8"?>
<a:theme xmlns:a="http://schemas.openxmlformats.org/drawingml/2006/main" name="Office Theme">
  <a:themeElements>
    <a:clrScheme name="Daikinv2">
      <a:dk1>
        <a:srgbClr val="FFFFFF"/>
      </a:dk1>
      <a:lt1>
        <a:srgbClr val="0083C1"/>
      </a:lt1>
      <a:dk2>
        <a:srgbClr val="2D2D2F"/>
      </a:dk2>
      <a:lt2>
        <a:srgbClr val="5F5F5F"/>
      </a:lt2>
      <a:accent1>
        <a:srgbClr val="00CCFF"/>
      </a:accent1>
      <a:accent2>
        <a:srgbClr val="FFC000"/>
      </a:accent2>
      <a:accent3>
        <a:srgbClr val="E96E1F"/>
      </a:accent3>
      <a:accent4>
        <a:srgbClr val="C00000"/>
      </a:accent4>
      <a:accent5>
        <a:srgbClr val="7030A0"/>
      </a:accent5>
      <a:accent6>
        <a:srgbClr val="00B050"/>
      </a:accent6>
      <a:hlink>
        <a:srgbClr val="0083C1"/>
      </a:hlink>
      <a:folHlink>
        <a:srgbClr val="40C1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44B86-2205-4DD5-BCEA-FE7CB83B0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Daikin_template_2016.dotx</Template>
  <TotalTime>0</TotalTime>
  <Pages>3</Pages>
  <Words>800</Words>
  <Characters>4562</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Daikin Europe NV</Company>
  <LinksUpToDate>false</LinksUpToDate>
  <CharactersWithSpaces>5352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Marijke Slijkhuis</dc:creator>
  <cp:lastModifiedBy>Marijke Slijkhuis</cp:lastModifiedBy>
  <cp:revision>7</cp:revision>
  <cp:lastPrinted>2016-05-31T11:31:00Z</cp:lastPrinted>
  <dcterms:created xsi:type="dcterms:W3CDTF">2018-03-19T14:59:00Z</dcterms:created>
  <dcterms:modified xsi:type="dcterms:W3CDTF">2018-03-19T15:25:00Z</dcterms:modified>
</cp:coreProperties>
</file>