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0B8EC" w14:textId="77777777" w:rsidR="001E6707" w:rsidRPr="001E6707" w:rsidRDefault="001E6707" w:rsidP="001E6707">
      <w:pPr>
        <w:pStyle w:val="HEADLINE"/>
        <w:spacing w:line="240" w:lineRule="auto"/>
      </w:pPr>
      <w:r>
        <w:t>Keep the technology outside – and enjoy the cosiness indoors</w:t>
      </w:r>
      <w:r>
        <w:br/>
      </w:r>
      <w:r w:rsidRPr="001E6707">
        <w:rPr>
          <w:sz w:val="40"/>
        </w:rPr>
        <w:t xml:space="preserve">Daikin launches new additions to Daikin </w:t>
      </w:r>
      <w:proofErr w:type="spellStart"/>
      <w:r w:rsidRPr="001E6707">
        <w:rPr>
          <w:sz w:val="40"/>
        </w:rPr>
        <w:t>Altherma</w:t>
      </w:r>
      <w:proofErr w:type="spellEnd"/>
      <w:r w:rsidRPr="001E6707">
        <w:rPr>
          <w:sz w:val="40"/>
        </w:rPr>
        <w:t xml:space="preserve"> Monobloc series</w:t>
      </w:r>
    </w:p>
    <w:p w14:paraId="373E1F63" w14:textId="77777777" w:rsidR="001E6707" w:rsidRPr="001E6707" w:rsidRDefault="001E6707" w:rsidP="001E6707">
      <w:pPr>
        <w:pStyle w:val="Introduction"/>
        <w:rPr>
          <w:rFonts w:eastAsia="Times New Roman"/>
          <w:kern w:val="36"/>
          <w:sz w:val="32"/>
          <w:szCs w:val="36"/>
          <w:lang w:eastAsia="de-AT"/>
        </w:rPr>
      </w:pPr>
      <w:r w:rsidRPr="001E6707">
        <w:rPr>
          <w:rFonts w:eastAsia="Times New Roman"/>
          <w:kern w:val="36"/>
          <w:sz w:val="32"/>
          <w:szCs w:val="36"/>
          <w:lang w:eastAsia="de-AT"/>
        </w:rPr>
        <w:t xml:space="preserve">Daikin is poised to launch the first in a series of updates to its popular Daikin </w:t>
      </w:r>
      <w:proofErr w:type="spellStart"/>
      <w:r w:rsidRPr="001E6707">
        <w:rPr>
          <w:rFonts w:eastAsia="Times New Roman"/>
          <w:kern w:val="36"/>
          <w:sz w:val="32"/>
          <w:szCs w:val="36"/>
          <w:lang w:eastAsia="de-AT"/>
        </w:rPr>
        <w:t>Altherma</w:t>
      </w:r>
      <w:proofErr w:type="spellEnd"/>
      <w:r w:rsidRPr="001E6707">
        <w:rPr>
          <w:rFonts w:eastAsia="Times New Roman"/>
          <w:kern w:val="36"/>
          <w:sz w:val="32"/>
          <w:szCs w:val="36"/>
          <w:lang w:eastAsia="de-AT"/>
        </w:rPr>
        <w:t xml:space="preserve"> Monobloc Low Temperature C-Series with the introduction of new, more powerful models (available with or without an integrated backup heater) this spring.</w:t>
      </w:r>
    </w:p>
    <w:p w14:paraId="601B8FF3" w14:textId="77777777" w:rsidR="001E6707" w:rsidRDefault="001E6707" w:rsidP="00114FEB">
      <w:pPr>
        <w:spacing w:after="0"/>
        <w:rPr>
          <w:b/>
          <w:sz w:val="22"/>
          <w:highlight w:val="yellow"/>
        </w:rPr>
      </w:pPr>
    </w:p>
    <w:p w14:paraId="37D726E5" w14:textId="77777777" w:rsidR="001E6707" w:rsidRDefault="001E6707" w:rsidP="001E6707">
      <w:pPr>
        <w:pStyle w:val="BodyCopy"/>
      </w:pPr>
      <w:r>
        <w:t xml:space="preserve">Complementing its successful EBLQ/EDLQ C 5-7 kW C-Series, the new larger capacity models will be available from May of this year in 11,14 and 16kW variations. Updating the EBLQ/EBHQ/EDLQ/EDHQ – BB Series, the extended C-Series offers a single high-performance system that fits all applications and is </w:t>
      </w:r>
      <w:proofErr w:type="spellStart"/>
      <w:r>
        <w:t>characterised</w:t>
      </w:r>
      <w:proofErr w:type="spellEnd"/>
      <w:r>
        <w:t xml:space="preserve"> by its superior efficiency, outstanding flexibility of choice and ease of installation.</w:t>
      </w:r>
    </w:p>
    <w:p w14:paraId="53FBE360" w14:textId="77777777" w:rsidR="001E6707" w:rsidRPr="001E6707" w:rsidRDefault="001E6707" w:rsidP="001E6707">
      <w:pPr>
        <w:rPr>
          <w:color w:val="474747" w:themeColor="background2" w:themeShade="BF"/>
          <w:sz w:val="32"/>
          <w:szCs w:val="32"/>
        </w:rPr>
      </w:pPr>
      <w:r w:rsidRPr="001E6707">
        <w:rPr>
          <w:color w:val="474747" w:themeColor="background2" w:themeShade="BF"/>
          <w:sz w:val="32"/>
          <w:szCs w:val="32"/>
        </w:rPr>
        <w:t>Higher performance and now even more environmentally friendly</w:t>
      </w:r>
    </w:p>
    <w:p w14:paraId="014EBEF5" w14:textId="77777777" w:rsidR="001E6707" w:rsidRPr="005E60A7" w:rsidRDefault="001E6707" w:rsidP="001E6707">
      <w:pPr>
        <w:pStyle w:val="BodyCopy"/>
      </w:pPr>
      <w:r>
        <w:t xml:space="preserve">The advanced low-temperature Monobloc C-Series achieves significantly higher performances, with improved seasonal efficiencies securing an </w:t>
      </w:r>
      <w:proofErr w:type="spellStart"/>
      <w:r>
        <w:t>ErP</w:t>
      </w:r>
      <w:proofErr w:type="spellEnd"/>
      <w:r>
        <w:t xml:space="preserve"> label rating of up to A++. The new models are compatible with the EKHWS-D Series stainless steel hot water tank launched in 2017, which carries an improved energy efficiency B rating and offers up to 30% lower standing losses than the previous </w:t>
      </w:r>
      <w:r w:rsidRPr="005E60A7">
        <w:t xml:space="preserve">EKHWS-B series. </w:t>
      </w:r>
    </w:p>
    <w:p w14:paraId="450071C1" w14:textId="77777777" w:rsidR="001E6707" w:rsidRDefault="001E6707" w:rsidP="001E6707">
      <w:pPr>
        <w:pStyle w:val="BodyCopy"/>
      </w:pPr>
      <w:r>
        <w:t xml:space="preserve">The Monobloc C-Series is capable of operation in temperatures as low as </w:t>
      </w:r>
      <w:r w:rsidRPr="005E60A7">
        <w:t>-20°C</w:t>
      </w:r>
      <w:r>
        <w:t xml:space="preserve">, making it suitable for use in colder climates and provides 33% more capacity at low ambient temperatures down to 7°C. With </w:t>
      </w:r>
      <w:r w:rsidRPr="005E60A7">
        <w:t xml:space="preserve">a maximum </w:t>
      </w:r>
      <w:r>
        <w:t>leaving water temperature of 55°C, these latest models are ideal for new build applications featuring underfloor heating.</w:t>
      </w:r>
    </w:p>
    <w:p w14:paraId="3A8D8389" w14:textId="77777777" w:rsidR="001E6707" w:rsidRDefault="001E6707" w:rsidP="001E6707">
      <w:pPr>
        <w:rPr>
          <w:color w:val="474747" w:themeColor="background2" w:themeShade="BF"/>
          <w:sz w:val="32"/>
          <w:szCs w:val="32"/>
        </w:rPr>
      </w:pPr>
    </w:p>
    <w:p w14:paraId="3D18CE29" w14:textId="19F3D70B" w:rsidR="001E6707" w:rsidRPr="001E6707" w:rsidRDefault="001E6707" w:rsidP="001E6707">
      <w:pPr>
        <w:rPr>
          <w:color w:val="474747" w:themeColor="background2" w:themeShade="BF"/>
          <w:sz w:val="32"/>
          <w:szCs w:val="32"/>
        </w:rPr>
      </w:pPr>
      <w:r w:rsidRPr="001E6707">
        <w:rPr>
          <w:color w:val="474747" w:themeColor="background2" w:themeShade="BF"/>
          <w:sz w:val="32"/>
          <w:szCs w:val="32"/>
        </w:rPr>
        <w:lastRenderedPageBreak/>
        <w:t>More products, more choice</w:t>
      </w:r>
    </w:p>
    <w:p w14:paraId="7BA9C00D" w14:textId="77777777" w:rsidR="001E6707" w:rsidRDefault="001E6707" w:rsidP="001E6707">
      <w:pPr>
        <w:pStyle w:val="BodyCopy"/>
      </w:pPr>
      <w:r>
        <w:t xml:space="preserve">The extended Daikin </w:t>
      </w:r>
      <w:proofErr w:type="spellStart"/>
      <w:r>
        <w:t>Altherma</w:t>
      </w:r>
      <w:proofErr w:type="spellEnd"/>
      <w:r>
        <w:t xml:space="preserve"> Monobloc low temperature C-Series offers a choice of no less than 24 models. Delivering a wide range of power options from 5kW right through to 16kW, the range includes reversible and heating only models, available as single or three-phase variants. Installers will be able to select between models with no additional heater or the integrated solution with backup heater </w:t>
      </w:r>
      <w:r w:rsidRPr="005E60A7">
        <w:t xml:space="preserve">of 3KW </w:t>
      </w:r>
      <w:r>
        <w:t>from within a single family of products.</w:t>
      </w:r>
      <w:r w:rsidRPr="008A2907">
        <w:t xml:space="preserve"> </w:t>
      </w:r>
    </w:p>
    <w:p w14:paraId="3A39A5AA" w14:textId="77777777" w:rsidR="001E6707" w:rsidRDefault="001E6707" w:rsidP="001E6707">
      <w:pPr>
        <w:pStyle w:val="BodyCopy"/>
      </w:pPr>
    </w:p>
    <w:p w14:paraId="509536CF" w14:textId="77777777" w:rsidR="001E6707" w:rsidRPr="001E6707" w:rsidRDefault="001E6707" w:rsidP="001E6707">
      <w:pPr>
        <w:rPr>
          <w:color w:val="474747" w:themeColor="background2" w:themeShade="BF"/>
          <w:sz w:val="32"/>
          <w:szCs w:val="32"/>
        </w:rPr>
      </w:pPr>
      <w:r w:rsidRPr="001E6707">
        <w:rPr>
          <w:color w:val="474747" w:themeColor="background2" w:themeShade="BF"/>
          <w:sz w:val="32"/>
          <w:szCs w:val="32"/>
        </w:rPr>
        <w:t>Worry-free installation</w:t>
      </w:r>
    </w:p>
    <w:p w14:paraId="07648B0E" w14:textId="77777777" w:rsidR="001E6707" w:rsidRDefault="001E6707" w:rsidP="001E6707">
      <w:pPr>
        <w:pStyle w:val="BodyCopy"/>
      </w:pPr>
      <w:r>
        <w:t xml:space="preserve">Installation couldn’t be simpler with the new Daikin </w:t>
      </w:r>
      <w:proofErr w:type="spellStart"/>
      <w:r>
        <w:t>Altherma</w:t>
      </w:r>
      <w:proofErr w:type="spellEnd"/>
      <w:r>
        <w:t xml:space="preserve"> Monobloc Low Temperature C-Series. All hydraulics are included within the outdoor unit for faster, easier installation. In addition, a sealed refrigerant unit eliminates the need for additional refrigeration connections.  These improvements, together with a user interface, wiring control </w:t>
      </w:r>
      <w:proofErr w:type="spellStart"/>
      <w:r>
        <w:t>centre</w:t>
      </w:r>
      <w:proofErr w:type="spellEnd"/>
      <w:r>
        <w:t>, and backup heater kit, not only offer more flexibility in installation but also has the advantage of a 36% smaller unit, opening up more possibilities for placement.</w:t>
      </w:r>
    </w:p>
    <w:p w14:paraId="3737421F" w14:textId="77777777" w:rsidR="001E6707" w:rsidRDefault="001E6707" w:rsidP="001E6707">
      <w:pPr>
        <w:pStyle w:val="BodyCopy"/>
      </w:pPr>
      <w:r>
        <w:t>The new larger models feature the same controls which provide smart, responsive heating control and optimal control for the 5 to 7kW range.</w:t>
      </w:r>
    </w:p>
    <w:p w14:paraId="5DF07547" w14:textId="77777777" w:rsidR="001E6707" w:rsidRDefault="001E6707" w:rsidP="001E6707">
      <w:pPr>
        <w:pStyle w:val="BodyCopy"/>
        <w:rPr>
          <w:b/>
        </w:rPr>
      </w:pPr>
    </w:p>
    <w:p w14:paraId="6CD012B6" w14:textId="77777777" w:rsidR="001E6707" w:rsidRPr="001E6707" w:rsidRDefault="001E6707" w:rsidP="001E6707">
      <w:pPr>
        <w:pStyle w:val="BodyCopy"/>
      </w:pPr>
      <w:r w:rsidRPr="001E6707">
        <w:t xml:space="preserve">The Daikin </w:t>
      </w:r>
      <w:proofErr w:type="spellStart"/>
      <w:r w:rsidRPr="001E6707">
        <w:t>Altherma</w:t>
      </w:r>
      <w:proofErr w:type="spellEnd"/>
      <w:r w:rsidRPr="001E6707">
        <w:t xml:space="preserve"> Monobloc EBLQ/EDLQ-C R410A (size 11,14,16 kW) is due to launch in May. To offer improved flexibility, additional models with integrated BUH will be launched in August as an extension of the existing EBLQ/EDLQ-C 5-7 kW series.</w:t>
      </w:r>
    </w:p>
    <w:p w14:paraId="056ABBDE" w14:textId="77777777" w:rsidR="001E6707" w:rsidRPr="001E6707" w:rsidRDefault="001E6707" w:rsidP="001E6707">
      <w:pPr>
        <w:pStyle w:val="BodyCopy"/>
      </w:pPr>
      <w:r w:rsidRPr="001E6707">
        <w:t xml:space="preserve">For more information on the Daikin </w:t>
      </w:r>
      <w:proofErr w:type="spellStart"/>
      <w:r w:rsidRPr="001E6707">
        <w:t>Altherma</w:t>
      </w:r>
      <w:proofErr w:type="spellEnd"/>
      <w:r w:rsidRPr="001E6707">
        <w:t xml:space="preserve"> Monobloc Low Temperature C-Series visit </w:t>
      </w:r>
      <w:hyperlink r:id="rId8" w:history="1">
        <w:r w:rsidRPr="001E6707">
          <w:rPr>
            <w:rStyle w:val="Hyperlink"/>
          </w:rPr>
          <w:t>https://www.daikin.eu/en_us/products/EDLQ011-016CV3.html</w:t>
        </w:r>
      </w:hyperlink>
      <w:r w:rsidRPr="001E6707">
        <w:t xml:space="preserve"> </w:t>
      </w:r>
    </w:p>
    <w:p w14:paraId="149B6C41" w14:textId="77777777" w:rsidR="001E6707" w:rsidRDefault="001E6707" w:rsidP="00114FEB">
      <w:pPr>
        <w:spacing w:after="0"/>
        <w:rPr>
          <w:b/>
          <w:sz w:val="22"/>
          <w:highlight w:val="yellow"/>
        </w:rPr>
      </w:pPr>
      <w:bookmarkStart w:id="0" w:name="_GoBack"/>
      <w:bookmarkEnd w:id="0"/>
    </w:p>
    <w:p w14:paraId="2BB9E6F2" w14:textId="7F1DCB44" w:rsidR="00282AA9" w:rsidRPr="003934B4" w:rsidRDefault="00410F5A" w:rsidP="007C383D">
      <w:pPr>
        <w:pStyle w:val="Heading4"/>
        <w:numPr>
          <w:ilvl w:val="0"/>
          <w:numId w:val="0"/>
        </w:numPr>
        <w:rPr>
          <w:b w:val="0"/>
        </w:rPr>
      </w:pPr>
      <w:r w:rsidRPr="003934B4">
        <w:rPr>
          <w:b w:val="0"/>
        </w:rPr>
        <w:t>D</w:t>
      </w:r>
      <w:r w:rsidR="00484871" w:rsidRPr="003934B4">
        <w:rPr>
          <w:b w:val="0"/>
        </w:rPr>
        <w:t>aikin</w:t>
      </w:r>
      <w:r w:rsidR="00282AA9" w:rsidRPr="003934B4">
        <w:rPr>
          <w:b w:val="0"/>
        </w:rPr>
        <w:t xml:space="preserve"> </w:t>
      </w:r>
      <w:proofErr w:type="spellStart"/>
      <w:r w:rsidR="00282AA9" w:rsidRPr="003934B4">
        <w:rPr>
          <w:b w:val="0"/>
        </w:rPr>
        <w:t>Airconditioning</w:t>
      </w:r>
      <w:proofErr w:type="spellEnd"/>
      <w:r w:rsidR="00282AA9" w:rsidRPr="003934B4">
        <w:rPr>
          <w:b w:val="0"/>
        </w:rPr>
        <w:t xml:space="preserve"> Central Europe </w:t>
      </w:r>
    </w:p>
    <w:p w14:paraId="15DD9ABF" w14:textId="4E38C59B" w:rsidR="00282AA9" w:rsidRPr="003934B4" w:rsidRDefault="00282AA9" w:rsidP="00282AA9">
      <w:pPr>
        <w:autoSpaceDE w:val="0"/>
        <w:autoSpaceDN w:val="0"/>
        <w:adjustRightInd w:val="0"/>
        <w:spacing w:line="360" w:lineRule="auto"/>
        <w:rPr>
          <w:rFonts w:eastAsia="Times New Roman" w:cstheme="minorHAnsi"/>
          <w:szCs w:val="20"/>
          <w:lang w:val="en-GB" w:eastAsia="de-AT"/>
        </w:rPr>
      </w:pPr>
      <w:r w:rsidRPr="003934B4">
        <w:rPr>
          <w:rFonts w:eastAsia="Times New Roman" w:cstheme="minorHAnsi"/>
          <w:szCs w:val="20"/>
          <w:lang w:val="en-GB" w:eastAsia="de-AT"/>
        </w:rPr>
        <w:t xml:space="preserve">Daikin </w:t>
      </w:r>
      <w:proofErr w:type="spellStart"/>
      <w:r w:rsidRPr="003934B4">
        <w:rPr>
          <w:rFonts w:eastAsia="Times New Roman" w:cstheme="minorHAnsi"/>
          <w:szCs w:val="20"/>
          <w:lang w:val="en-GB" w:eastAsia="de-AT"/>
        </w:rPr>
        <w:t>Airconditioning</w:t>
      </w:r>
      <w:proofErr w:type="spellEnd"/>
      <w:r w:rsidRPr="003934B4">
        <w:rPr>
          <w:rFonts w:eastAsia="Times New Roman" w:cstheme="minorHAnsi"/>
          <w:szCs w:val="20"/>
          <w:lang w:val="en-GB" w:eastAsia="de-AT"/>
        </w:rPr>
        <w:t xml:space="preserve"> Central Europe was founded in 1999 with its headquarter</w:t>
      </w:r>
      <w:r w:rsidR="00583B23" w:rsidRPr="003934B4">
        <w:rPr>
          <w:rFonts w:eastAsia="Times New Roman" w:cstheme="minorHAnsi"/>
          <w:szCs w:val="20"/>
          <w:lang w:val="en-GB" w:eastAsia="de-AT"/>
        </w:rPr>
        <w:t>s</w:t>
      </w:r>
      <w:r w:rsidRPr="003934B4">
        <w:rPr>
          <w:rFonts w:eastAsia="Times New Roman" w:cstheme="minorHAnsi"/>
          <w:szCs w:val="20"/>
          <w:lang w:val="en-GB" w:eastAsia="de-AT"/>
        </w:rPr>
        <w:t xml:space="preserve"> in </w:t>
      </w:r>
      <w:proofErr w:type="spellStart"/>
      <w:r w:rsidRPr="003934B4">
        <w:rPr>
          <w:rFonts w:eastAsia="Times New Roman" w:cstheme="minorHAnsi"/>
          <w:szCs w:val="20"/>
          <w:lang w:val="en-GB" w:eastAsia="de-AT"/>
        </w:rPr>
        <w:t>Brunn</w:t>
      </w:r>
      <w:proofErr w:type="spellEnd"/>
      <w:r w:rsidRPr="003934B4">
        <w:rPr>
          <w:rFonts w:eastAsia="Times New Roman" w:cstheme="minorHAnsi"/>
          <w:szCs w:val="20"/>
          <w:lang w:val="en-GB" w:eastAsia="de-AT"/>
        </w:rPr>
        <w:t xml:space="preserve"> am </w:t>
      </w:r>
      <w:proofErr w:type="spellStart"/>
      <w:r w:rsidRPr="003934B4">
        <w:rPr>
          <w:rFonts w:eastAsia="Times New Roman" w:cstheme="minorHAnsi"/>
          <w:szCs w:val="20"/>
          <w:lang w:val="en-GB" w:eastAsia="de-AT"/>
        </w:rPr>
        <w:t>Gebirge</w:t>
      </w:r>
      <w:proofErr w:type="spellEnd"/>
      <w:r w:rsidRPr="003934B4">
        <w:rPr>
          <w:rFonts w:eastAsia="Times New Roman" w:cstheme="minorHAnsi"/>
          <w:szCs w:val="20"/>
          <w:lang w:val="en-GB" w:eastAsia="de-AT"/>
        </w:rPr>
        <w:t>, Austria. The product portfolio comprises products and solutions for heating, cooling, ventilation, air</w:t>
      </w:r>
      <w:r w:rsidR="00677FA6">
        <w:rPr>
          <w:rFonts w:eastAsia="Times New Roman" w:cstheme="minorHAnsi"/>
          <w:szCs w:val="20"/>
          <w:lang w:val="en-GB" w:eastAsia="de-AT"/>
        </w:rPr>
        <w:t xml:space="preserve"> </w:t>
      </w:r>
      <w:r w:rsidRPr="003934B4">
        <w:rPr>
          <w:rFonts w:eastAsia="Times New Roman" w:cstheme="minorHAnsi"/>
          <w:szCs w:val="20"/>
          <w:lang w:val="en-GB" w:eastAsia="de-AT"/>
        </w:rPr>
        <w:t xml:space="preserve">conditioning and refrigeration. Roughly </w:t>
      </w:r>
      <w:r w:rsidR="001E6707">
        <w:rPr>
          <w:rFonts w:eastAsia="Times New Roman" w:cstheme="minorHAnsi"/>
          <w:szCs w:val="20"/>
          <w:lang w:val="en-GB" w:eastAsia="de-AT"/>
        </w:rPr>
        <w:t>320</w:t>
      </w:r>
      <w:r w:rsidRPr="003934B4">
        <w:rPr>
          <w:rFonts w:eastAsia="Times New Roman" w:cstheme="minorHAnsi"/>
          <w:szCs w:val="20"/>
          <w:lang w:val="en-GB" w:eastAsia="de-AT"/>
        </w:rPr>
        <w:t xml:space="preserve"> employees are in charge of the sales and service activi</w:t>
      </w:r>
      <w:r w:rsidR="00D6085A" w:rsidRPr="003934B4">
        <w:rPr>
          <w:rFonts w:eastAsia="Times New Roman" w:cstheme="minorHAnsi"/>
          <w:szCs w:val="20"/>
          <w:lang w:val="en-GB" w:eastAsia="de-AT"/>
        </w:rPr>
        <w:t>ties in 15 countries in Central</w:t>
      </w:r>
      <w:r w:rsidRPr="003934B4">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3934B4" w:rsidRDefault="00321C97" w:rsidP="00321C97">
      <w:pPr>
        <w:pStyle w:val="Heading4"/>
        <w:numPr>
          <w:ilvl w:val="0"/>
          <w:numId w:val="0"/>
        </w:numPr>
        <w:rPr>
          <w:b w:val="0"/>
        </w:rPr>
      </w:pPr>
      <w:r w:rsidRPr="003934B4">
        <w:rPr>
          <w:b w:val="0"/>
        </w:rPr>
        <w:lastRenderedPageBreak/>
        <w:t>About Daikin Europe N.V.</w:t>
      </w:r>
    </w:p>
    <w:p w14:paraId="00DDC4D0" w14:textId="77777777" w:rsidR="00321C97" w:rsidRPr="003934B4" w:rsidRDefault="00321C97" w:rsidP="00321C97">
      <w:pPr>
        <w:pStyle w:val="TEXT-Boilerplateandcontact"/>
        <w:rPr>
          <w:rFonts w:asciiTheme="minorHAnsi" w:hAnsiTheme="minorHAnsi"/>
        </w:rPr>
      </w:pPr>
      <w:r w:rsidRPr="003934B4">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56D405ED" w14:textId="12D5A1CB" w:rsidR="00321C97" w:rsidRPr="003934B4" w:rsidRDefault="00321C97" w:rsidP="00321C97">
      <w:pPr>
        <w:pStyle w:val="TEXT-Boilerplateandcontact"/>
        <w:rPr>
          <w:rFonts w:asciiTheme="minorHAnsi" w:hAnsiTheme="minorHAnsi"/>
        </w:rPr>
      </w:pPr>
      <w:r w:rsidRPr="003934B4">
        <w:rPr>
          <w:rFonts w:asciiTheme="minorHAnsi" w:hAnsiTheme="minorHAnsi"/>
        </w:rPr>
        <w:t>Globally, Daikin is renowned for its pioneering approach to product development and the unrivalled quality and versatility of its integrated sol</w:t>
      </w:r>
      <w:r w:rsidR="00DB609D" w:rsidRPr="003934B4">
        <w:rPr>
          <w:rFonts w:asciiTheme="minorHAnsi" w:hAnsiTheme="minorHAnsi"/>
        </w:rPr>
        <w:t>utions. With more than 90 years of</w:t>
      </w:r>
      <w:r w:rsidRPr="003934B4">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3934B4" w:rsidRDefault="00321C97" w:rsidP="00321C97">
      <w:pPr>
        <w:pStyle w:val="TEXT-Boilerplateandcontact"/>
        <w:rPr>
          <w:rFonts w:asciiTheme="minorHAnsi" w:hAnsiTheme="minorHAnsi"/>
        </w:rPr>
      </w:pPr>
    </w:p>
    <w:p w14:paraId="18B98A53" w14:textId="77777777" w:rsidR="00321C97" w:rsidRPr="003934B4"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934B4">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Marijke Slijkhuis</w:t>
      </w:r>
    </w:p>
    <w:p w14:paraId="0D82EF90" w14:textId="77777777" w:rsidR="00321C97" w:rsidRPr="003934B4"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934B4">
        <w:rPr>
          <w:rFonts w:asciiTheme="minorHAnsi" w:hAnsiTheme="minorHAnsi" w:cstheme="minorHAnsi"/>
          <w:sz w:val="18"/>
          <w:szCs w:val="20"/>
          <w:lang w:val="en-GB"/>
        </w:rPr>
        <w:t xml:space="preserve">Marketing &amp; Communication, Daikin </w:t>
      </w:r>
      <w:proofErr w:type="spellStart"/>
      <w:r w:rsidRPr="003934B4">
        <w:rPr>
          <w:rFonts w:asciiTheme="minorHAnsi" w:hAnsiTheme="minorHAnsi" w:cstheme="minorHAnsi"/>
          <w:sz w:val="18"/>
          <w:szCs w:val="20"/>
          <w:lang w:val="en-GB"/>
        </w:rPr>
        <w:t>Airconditioning</w:t>
      </w:r>
      <w:proofErr w:type="spellEnd"/>
      <w:r w:rsidRPr="003934B4">
        <w:rPr>
          <w:rFonts w:asciiTheme="minorHAnsi" w:hAnsiTheme="minorHAnsi" w:cstheme="minorHAnsi"/>
          <w:sz w:val="18"/>
          <w:szCs w:val="20"/>
          <w:lang w:val="en-GB"/>
        </w:rPr>
        <w:t xml:space="preserve"> Central Europe </w:t>
      </w:r>
      <w:proofErr w:type="spellStart"/>
      <w:r w:rsidRPr="003934B4">
        <w:rPr>
          <w:rFonts w:asciiTheme="minorHAnsi" w:hAnsiTheme="minorHAnsi" w:cstheme="minorHAnsi"/>
          <w:sz w:val="18"/>
          <w:szCs w:val="20"/>
          <w:lang w:val="en-GB"/>
        </w:rPr>
        <w:t>HandelsgmbH</w:t>
      </w:r>
      <w:proofErr w:type="spellEnd"/>
    </w:p>
    <w:p w14:paraId="732D1FA8" w14:textId="77777777" w:rsidR="00321C97" w:rsidRPr="00677FA6"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677FA6">
        <w:rPr>
          <w:rFonts w:asciiTheme="minorHAnsi" w:hAnsiTheme="minorHAnsi" w:cstheme="minorHAnsi"/>
          <w:sz w:val="18"/>
          <w:szCs w:val="20"/>
          <w:lang w:val="fr-FR"/>
        </w:rPr>
        <w:t xml:space="preserve">Tel.: 43 (0)2236 32557-175 </w:t>
      </w:r>
    </w:p>
    <w:p w14:paraId="252460A7" w14:textId="77777777" w:rsidR="00321C97" w:rsidRPr="00677FA6"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677FA6">
        <w:rPr>
          <w:rFonts w:asciiTheme="minorHAnsi" w:hAnsiTheme="minorHAnsi" w:cstheme="minorHAnsi"/>
          <w:sz w:val="18"/>
          <w:szCs w:val="20"/>
          <w:lang w:val="fr-FR"/>
        </w:rPr>
        <w:t>Mail: slijkhuis.m@daikin.at</w:t>
      </w:r>
    </w:p>
    <w:p w14:paraId="7F9C9A71" w14:textId="77777777" w:rsidR="00321C97" w:rsidRPr="007B02DD" w:rsidRDefault="00321C97" w:rsidP="006970EE">
      <w:pPr>
        <w:pStyle w:val="NormalWeb"/>
        <w:spacing w:before="0" w:beforeAutospacing="0" w:after="0" w:afterAutospacing="0" w:line="260" w:lineRule="exact"/>
        <w:rPr>
          <w:rFonts w:asciiTheme="minorHAnsi" w:hAnsiTheme="minorHAnsi" w:cstheme="minorHAnsi"/>
          <w:sz w:val="18"/>
          <w:szCs w:val="20"/>
          <w:lang w:val="de-AT"/>
        </w:rPr>
      </w:pPr>
      <w:proofErr w:type="spellStart"/>
      <w:r w:rsidRPr="007B02DD">
        <w:rPr>
          <w:rFonts w:asciiTheme="minorHAnsi" w:hAnsiTheme="minorHAnsi" w:cstheme="minorHAnsi"/>
          <w:sz w:val="18"/>
          <w:szCs w:val="20"/>
          <w:lang w:val="de-AT"/>
        </w:rPr>
        <w:t>campus</w:t>
      </w:r>
      <w:proofErr w:type="spellEnd"/>
      <w:r w:rsidRPr="007B02DD">
        <w:rPr>
          <w:rFonts w:asciiTheme="minorHAnsi" w:hAnsiTheme="minorHAnsi" w:cstheme="minorHAnsi"/>
          <w:sz w:val="18"/>
          <w:szCs w:val="20"/>
          <w:lang w:val="de-AT"/>
        </w:rPr>
        <w:t xml:space="preserve"> 21, Europaring F12/402, 2345 Brunn am Gebirge, Austria  </w:t>
      </w:r>
    </w:p>
    <w:p w14:paraId="3E8D4C33" w14:textId="77777777" w:rsidR="00E71185" w:rsidRPr="007B02DD" w:rsidRDefault="00E71185" w:rsidP="006970EE">
      <w:pPr>
        <w:pStyle w:val="NormalWeb"/>
        <w:spacing w:before="0" w:beforeAutospacing="0" w:after="0" w:afterAutospacing="0" w:line="260" w:lineRule="exact"/>
        <w:rPr>
          <w:rFonts w:asciiTheme="minorHAnsi" w:hAnsiTheme="minorHAnsi" w:cstheme="minorHAnsi"/>
          <w:sz w:val="18"/>
          <w:szCs w:val="20"/>
          <w:lang w:val="de-AT"/>
        </w:rPr>
      </w:pPr>
    </w:p>
    <w:sectPr w:rsidR="00E71185" w:rsidRPr="007B02DD"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D20D1" w14:textId="77777777" w:rsidR="00274A61" w:rsidRDefault="00274A61" w:rsidP="000C65B2">
      <w:pPr>
        <w:spacing w:after="0" w:line="240" w:lineRule="auto"/>
      </w:pPr>
      <w:r>
        <w:separator/>
      </w:r>
    </w:p>
  </w:endnote>
  <w:endnote w:type="continuationSeparator" w:id="0">
    <w:p w14:paraId="4A8E131C" w14:textId="77777777" w:rsidR="00274A61" w:rsidRDefault="00274A61"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6BF1D" w14:textId="77777777" w:rsidR="00274A61" w:rsidRDefault="00274A61" w:rsidP="000C65B2">
      <w:pPr>
        <w:spacing w:after="0" w:line="240" w:lineRule="auto"/>
      </w:pPr>
      <w:r>
        <w:separator/>
      </w:r>
    </w:p>
  </w:footnote>
  <w:footnote w:type="continuationSeparator" w:id="0">
    <w:p w14:paraId="3377EEF4" w14:textId="77777777" w:rsidR="00274A61" w:rsidRDefault="00274A61"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78BDE821">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1DB95267"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1E6707" w:rsidRPr="001E6707">
            <w:rPr>
              <w:rFonts w:eastAsiaTheme="majorEastAsia" w:cstheme="majorBidi"/>
              <w:noProof/>
              <w:color w:val="5F5F5F" w:themeColor="background2"/>
              <w:sz w:val="16"/>
              <w:szCs w:val="16"/>
            </w:rPr>
            <w:t>3</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p w14:paraId="5D9B8F65" w14:textId="77777777" w:rsidR="00EE0FED" w:rsidRDefault="00EE0F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203A"/>
    <w:multiLevelType w:val="hybridMultilevel"/>
    <w:tmpl w:val="97E4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C45D7"/>
    <w:multiLevelType w:val="hybridMultilevel"/>
    <w:tmpl w:val="2C9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87369"/>
    <w:multiLevelType w:val="hybridMultilevel"/>
    <w:tmpl w:val="C5E453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2590CE0"/>
    <w:multiLevelType w:val="hybridMultilevel"/>
    <w:tmpl w:val="1A36FDB2"/>
    <w:lvl w:ilvl="0" w:tplc="F2DC6640">
      <w:numFmt w:val="bullet"/>
      <w:lvlText w:val="-"/>
      <w:lvlJc w:val="left"/>
      <w:pPr>
        <w:ind w:left="720" w:hanging="360"/>
      </w:pPr>
      <w:rPr>
        <w:rFonts w:ascii="Calibri" w:eastAsia="MS Mincho"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4E00261"/>
    <w:multiLevelType w:val="hybridMultilevel"/>
    <w:tmpl w:val="D1E4AAAA"/>
    <w:lvl w:ilvl="0" w:tplc="DC38E600">
      <w:start w:val="1"/>
      <w:numFmt w:val="bullet"/>
      <w:lvlText w:val=""/>
      <w:lvlJc w:val="left"/>
      <w:pPr>
        <w:tabs>
          <w:tab w:val="num" w:pos="720"/>
        </w:tabs>
        <w:ind w:left="720" w:hanging="360"/>
      </w:pPr>
      <w:rPr>
        <w:rFonts w:ascii="Wingdings" w:hAnsi="Wingdings" w:hint="default"/>
      </w:rPr>
    </w:lvl>
    <w:lvl w:ilvl="1" w:tplc="382C5DF0" w:tentative="1">
      <w:start w:val="1"/>
      <w:numFmt w:val="bullet"/>
      <w:lvlText w:val=""/>
      <w:lvlJc w:val="left"/>
      <w:pPr>
        <w:tabs>
          <w:tab w:val="num" w:pos="1440"/>
        </w:tabs>
        <w:ind w:left="1440" w:hanging="360"/>
      </w:pPr>
      <w:rPr>
        <w:rFonts w:ascii="Wingdings" w:hAnsi="Wingdings" w:hint="default"/>
      </w:rPr>
    </w:lvl>
    <w:lvl w:ilvl="2" w:tplc="2F6453D6" w:tentative="1">
      <w:start w:val="1"/>
      <w:numFmt w:val="bullet"/>
      <w:lvlText w:val=""/>
      <w:lvlJc w:val="left"/>
      <w:pPr>
        <w:tabs>
          <w:tab w:val="num" w:pos="2160"/>
        </w:tabs>
        <w:ind w:left="2160" w:hanging="360"/>
      </w:pPr>
      <w:rPr>
        <w:rFonts w:ascii="Wingdings" w:hAnsi="Wingdings" w:hint="default"/>
      </w:rPr>
    </w:lvl>
    <w:lvl w:ilvl="3" w:tplc="9DF0AE94" w:tentative="1">
      <w:start w:val="1"/>
      <w:numFmt w:val="bullet"/>
      <w:lvlText w:val=""/>
      <w:lvlJc w:val="left"/>
      <w:pPr>
        <w:tabs>
          <w:tab w:val="num" w:pos="2880"/>
        </w:tabs>
        <w:ind w:left="2880" w:hanging="360"/>
      </w:pPr>
      <w:rPr>
        <w:rFonts w:ascii="Wingdings" w:hAnsi="Wingdings" w:hint="default"/>
      </w:rPr>
    </w:lvl>
    <w:lvl w:ilvl="4" w:tplc="E5349348" w:tentative="1">
      <w:start w:val="1"/>
      <w:numFmt w:val="bullet"/>
      <w:lvlText w:val=""/>
      <w:lvlJc w:val="left"/>
      <w:pPr>
        <w:tabs>
          <w:tab w:val="num" w:pos="3600"/>
        </w:tabs>
        <w:ind w:left="3600" w:hanging="360"/>
      </w:pPr>
      <w:rPr>
        <w:rFonts w:ascii="Wingdings" w:hAnsi="Wingdings" w:hint="default"/>
      </w:rPr>
    </w:lvl>
    <w:lvl w:ilvl="5" w:tplc="A2D2BE5C" w:tentative="1">
      <w:start w:val="1"/>
      <w:numFmt w:val="bullet"/>
      <w:lvlText w:val=""/>
      <w:lvlJc w:val="left"/>
      <w:pPr>
        <w:tabs>
          <w:tab w:val="num" w:pos="4320"/>
        </w:tabs>
        <w:ind w:left="4320" w:hanging="360"/>
      </w:pPr>
      <w:rPr>
        <w:rFonts w:ascii="Wingdings" w:hAnsi="Wingdings" w:hint="default"/>
      </w:rPr>
    </w:lvl>
    <w:lvl w:ilvl="6" w:tplc="5E8C9510" w:tentative="1">
      <w:start w:val="1"/>
      <w:numFmt w:val="bullet"/>
      <w:lvlText w:val=""/>
      <w:lvlJc w:val="left"/>
      <w:pPr>
        <w:tabs>
          <w:tab w:val="num" w:pos="5040"/>
        </w:tabs>
        <w:ind w:left="5040" w:hanging="360"/>
      </w:pPr>
      <w:rPr>
        <w:rFonts w:ascii="Wingdings" w:hAnsi="Wingdings" w:hint="default"/>
      </w:rPr>
    </w:lvl>
    <w:lvl w:ilvl="7" w:tplc="09926204" w:tentative="1">
      <w:start w:val="1"/>
      <w:numFmt w:val="bullet"/>
      <w:lvlText w:val=""/>
      <w:lvlJc w:val="left"/>
      <w:pPr>
        <w:tabs>
          <w:tab w:val="num" w:pos="5760"/>
        </w:tabs>
        <w:ind w:left="5760" w:hanging="360"/>
      </w:pPr>
      <w:rPr>
        <w:rFonts w:ascii="Wingdings" w:hAnsi="Wingdings" w:hint="default"/>
      </w:rPr>
    </w:lvl>
    <w:lvl w:ilvl="8" w:tplc="CA90948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1A4F77"/>
    <w:multiLevelType w:val="hybridMultilevel"/>
    <w:tmpl w:val="9460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A5342"/>
    <w:multiLevelType w:val="hybridMultilevel"/>
    <w:tmpl w:val="8D4AD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3288B"/>
    <w:multiLevelType w:val="hybridMultilevel"/>
    <w:tmpl w:val="4FAAC136"/>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23A7723"/>
    <w:multiLevelType w:val="hybridMultilevel"/>
    <w:tmpl w:val="B5BC69F2"/>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528166A4"/>
    <w:multiLevelType w:val="hybridMultilevel"/>
    <w:tmpl w:val="FCE2001E"/>
    <w:lvl w:ilvl="0" w:tplc="0A3CF0C2">
      <w:numFmt w:val="bullet"/>
      <w:lvlText w:val="•"/>
      <w:lvlJc w:val="left"/>
      <w:pPr>
        <w:ind w:left="1080" w:hanging="720"/>
      </w:pPr>
      <w:rPr>
        <w:rFonts w:ascii="Calibri" w:eastAsiaTheme="minorEastAsia"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35E77"/>
    <w:multiLevelType w:val="hybridMultilevel"/>
    <w:tmpl w:val="7E18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3"/>
  </w:num>
  <w:num w:numId="3">
    <w:abstractNumId w:val="6"/>
  </w:num>
  <w:num w:numId="4">
    <w:abstractNumId w:val="15"/>
  </w:num>
  <w:num w:numId="5">
    <w:abstractNumId w:val="16"/>
  </w:num>
  <w:num w:numId="6">
    <w:abstractNumId w:val="15"/>
  </w:num>
  <w:num w:numId="7">
    <w:abstractNumId w:val="15"/>
  </w:num>
  <w:num w:numId="8">
    <w:abstractNumId w:val="15"/>
  </w:num>
  <w:num w:numId="9">
    <w:abstractNumId w:val="15"/>
  </w:num>
  <w:num w:numId="10">
    <w:abstractNumId w:val="15"/>
  </w:num>
  <w:num w:numId="11">
    <w:abstractNumId w:val="15"/>
  </w:num>
  <w:num w:numId="12">
    <w:abstractNumId w:val="15"/>
  </w:num>
  <w:num w:numId="13">
    <w:abstractNumId w:val="15"/>
  </w:num>
  <w:num w:numId="14">
    <w:abstractNumId w:val="15"/>
  </w:num>
  <w:num w:numId="15">
    <w:abstractNumId w:val="15"/>
  </w:num>
  <w:num w:numId="16">
    <w:abstractNumId w:val="12"/>
  </w:num>
  <w:num w:numId="17">
    <w:abstractNumId w:val="15"/>
  </w:num>
  <w:num w:numId="18">
    <w:abstractNumId w:val="15"/>
  </w:num>
  <w:num w:numId="19">
    <w:abstractNumId w:val="15"/>
  </w:num>
  <w:num w:numId="20">
    <w:abstractNumId w:val="15"/>
  </w:num>
  <w:num w:numId="21">
    <w:abstractNumId w:val="0"/>
  </w:num>
  <w:num w:numId="22">
    <w:abstractNumId w:val="1"/>
  </w:num>
  <w:num w:numId="23">
    <w:abstractNumId w:val="7"/>
  </w:num>
  <w:num w:numId="24">
    <w:abstractNumId w:val="5"/>
  </w:num>
  <w:num w:numId="25">
    <w:abstractNumId w:val="3"/>
  </w:num>
  <w:num w:numId="26">
    <w:abstractNumId w:val="15"/>
  </w:num>
  <w:num w:numId="27">
    <w:abstractNumId w:val="15"/>
  </w:num>
  <w:num w:numId="28">
    <w:abstractNumId w:val="0"/>
  </w:num>
  <w:num w:numId="29">
    <w:abstractNumId w:val="14"/>
  </w:num>
  <w:num w:numId="30">
    <w:abstractNumId w:val="2"/>
  </w:num>
  <w:num w:numId="31">
    <w:abstractNumId w:val="10"/>
  </w:num>
  <w:num w:numId="32">
    <w:abstractNumId w:val="9"/>
  </w:num>
  <w:num w:numId="33">
    <w:abstractNumId w:val="4"/>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02513"/>
    <w:rsid w:val="00007698"/>
    <w:rsid w:val="00012A26"/>
    <w:rsid w:val="0002718E"/>
    <w:rsid w:val="00032BAB"/>
    <w:rsid w:val="00034675"/>
    <w:rsid w:val="00035E55"/>
    <w:rsid w:val="0005346B"/>
    <w:rsid w:val="00053729"/>
    <w:rsid w:val="000551D5"/>
    <w:rsid w:val="00055966"/>
    <w:rsid w:val="00056988"/>
    <w:rsid w:val="00057BE9"/>
    <w:rsid w:val="00060B2B"/>
    <w:rsid w:val="00063F4C"/>
    <w:rsid w:val="00077AD3"/>
    <w:rsid w:val="0009067E"/>
    <w:rsid w:val="000A7D2F"/>
    <w:rsid w:val="000B6BD3"/>
    <w:rsid w:val="000C0E85"/>
    <w:rsid w:val="000C1058"/>
    <w:rsid w:val="000C11B9"/>
    <w:rsid w:val="000C5AEB"/>
    <w:rsid w:val="000C65B2"/>
    <w:rsid w:val="000D0E37"/>
    <w:rsid w:val="000D1C07"/>
    <w:rsid w:val="000F6F8D"/>
    <w:rsid w:val="001052F1"/>
    <w:rsid w:val="00111112"/>
    <w:rsid w:val="00111767"/>
    <w:rsid w:val="0011178F"/>
    <w:rsid w:val="00112611"/>
    <w:rsid w:val="00114FEB"/>
    <w:rsid w:val="0012600C"/>
    <w:rsid w:val="00126D35"/>
    <w:rsid w:val="001374D4"/>
    <w:rsid w:val="0014361C"/>
    <w:rsid w:val="00143FF5"/>
    <w:rsid w:val="00146C07"/>
    <w:rsid w:val="00150B88"/>
    <w:rsid w:val="00153BC4"/>
    <w:rsid w:val="0015543B"/>
    <w:rsid w:val="00175EAB"/>
    <w:rsid w:val="0018047B"/>
    <w:rsid w:val="001855AF"/>
    <w:rsid w:val="00185D2A"/>
    <w:rsid w:val="001920C3"/>
    <w:rsid w:val="001A02FD"/>
    <w:rsid w:val="001A0360"/>
    <w:rsid w:val="001B4D9A"/>
    <w:rsid w:val="001B5D43"/>
    <w:rsid w:val="001B7333"/>
    <w:rsid w:val="001B7DBC"/>
    <w:rsid w:val="001C36CE"/>
    <w:rsid w:val="001C50CA"/>
    <w:rsid w:val="001E09ED"/>
    <w:rsid w:val="001E6707"/>
    <w:rsid w:val="001F1648"/>
    <w:rsid w:val="001F41A5"/>
    <w:rsid w:val="001F726C"/>
    <w:rsid w:val="00200DF3"/>
    <w:rsid w:val="00203538"/>
    <w:rsid w:val="00216755"/>
    <w:rsid w:val="00222CAC"/>
    <w:rsid w:val="00224D5F"/>
    <w:rsid w:val="00230AAF"/>
    <w:rsid w:val="00232291"/>
    <w:rsid w:val="0023440C"/>
    <w:rsid w:val="0025227C"/>
    <w:rsid w:val="00257D4E"/>
    <w:rsid w:val="0026092F"/>
    <w:rsid w:val="00266959"/>
    <w:rsid w:val="00274A61"/>
    <w:rsid w:val="00276E2E"/>
    <w:rsid w:val="00282AA9"/>
    <w:rsid w:val="00285B30"/>
    <w:rsid w:val="00290210"/>
    <w:rsid w:val="00290B0C"/>
    <w:rsid w:val="002919FA"/>
    <w:rsid w:val="002A02C8"/>
    <w:rsid w:val="002A0A33"/>
    <w:rsid w:val="002A1789"/>
    <w:rsid w:val="002A2BE5"/>
    <w:rsid w:val="002B5339"/>
    <w:rsid w:val="002C0B9A"/>
    <w:rsid w:val="002C182B"/>
    <w:rsid w:val="002C788C"/>
    <w:rsid w:val="002D719C"/>
    <w:rsid w:val="002E1371"/>
    <w:rsid w:val="002E67CD"/>
    <w:rsid w:val="002E68F4"/>
    <w:rsid w:val="002F1E4C"/>
    <w:rsid w:val="002F4A95"/>
    <w:rsid w:val="0030354B"/>
    <w:rsid w:val="003066D0"/>
    <w:rsid w:val="0031500C"/>
    <w:rsid w:val="00320F01"/>
    <w:rsid w:val="00321820"/>
    <w:rsid w:val="00321C97"/>
    <w:rsid w:val="00322755"/>
    <w:rsid w:val="00327B35"/>
    <w:rsid w:val="00330ABB"/>
    <w:rsid w:val="00331E9E"/>
    <w:rsid w:val="00332661"/>
    <w:rsid w:val="00333EA4"/>
    <w:rsid w:val="00335565"/>
    <w:rsid w:val="003368A3"/>
    <w:rsid w:val="003417D8"/>
    <w:rsid w:val="00345EDE"/>
    <w:rsid w:val="00352393"/>
    <w:rsid w:val="0035632C"/>
    <w:rsid w:val="0035723A"/>
    <w:rsid w:val="003603F2"/>
    <w:rsid w:val="00363414"/>
    <w:rsid w:val="00372591"/>
    <w:rsid w:val="00375FEF"/>
    <w:rsid w:val="00380B73"/>
    <w:rsid w:val="00384EB9"/>
    <w:rsid w:val="00387D86"/>
    <w:rsid w:val="003934B4"/>
    <w:rsid w:val="003951F0"/>
    <w:rsid w:val="003963FD"/>
    <w:rsid w:val="0039650B"/>
    <w:rsid w:val="00396EAD"/>
    <w:rsid w:val="00397967"/>
    <w:rsid w:val="00397AF0"/>
    <w:rsid w:val="00397C3B"/>
    <w:rsid w:val="003A3CC5"/>
    <w:rsid w:val="003A3FBE"/>
    <w:rsid w:val="003B47A5"/>
    <w:rsid w:val="003B4B6B"/>
    <w:rsid w:val="003B5634"/>
    <w:rsid w:val="003B6456"/>
    <w:rsid w:val="003B7B60"/>
    <w:rsid w:val="003D699D"/>
    <w:rsid w:val="003D7295"/>
    <w:rsid w:val="003E1AE9"/>
    <w:rsid w:val="003E390A"/>
    <w:rsid w:val="003E3A50"/>
    <w:rsid w:val="003E582F"/>
    <w:rsid w:val="003F1151"/>
    <w:rsid w:val="003F4901"/>
    <w:rsid w:val="00400866"/>
    <w:rsid w:val="00406228"/>
    <w:rsid w:val="00410F5A"/>
    <w:rsid w:val="004122B7"/>
    <w:rsid w:val="00414295"/>
    <w:rsid w:val="0041780C"/>
    <w:rsid w:val="00420E1F"/>
    <w:rsid w:val="00424907"/>
    <w:rsid w:val="004256FE"/>
    <w:rsid w:val="004278DB"/>
    <w:rsid w:val="0043235C"/>
    <w:rsid w:val="00436F6C"/>
    <w:rsid w:val="004408C0"/>
    <w:rsid w:val="00452601"/>
    <w:rsid w:val="004669A3"/>
    <w:rsid w:val="00471687"/>
    <w:rsid w:val="00475D0E"/>
    <w:rsid w:val="00475EC3"/>
    <w:rsid w:val="0048462E"/>
    <w:rsid w:val="00484871"/>
    <w:rsid w:val="00491B3B"/>
    <w:rsid w:val="004A010F"/>
    <w:rsid w:val="004A05EB"/>
    <w:rsid w:val="004A7479"/>
    <w:rsid w:val="004A7AA8"/>
    <w:rsid w:val="004A7F5A"/>
    <w:rsid w:val="004B55F1"/>
    <w:rsid w:val="004B6A75"/>
    <w:rsid w:val="004C2489"/>
    <w:rsid w:val="004C4C87"/>
    <w:rsid w:val="004D47A7"/>
    <w:rsid w:val="004D723E"/>
    <w:rsid w:val="004E66FE"/>
    <w:rsid w:val="004F2588"/>
    <w:rsid w:val="004F4D0A"/>
    <w:rsid w:val="004F5BF7"/>
    <w:rsid w:val="00502C6B"/>
    <w:rsid w:val="00505577"/>
    <w:rsid w:val="00510D40"/>
    <w:rsid w:val="00522446"/>
    <w:rsid w:val="005250A2"/>
    <w:rsid w:val="005312AF"/>
    <w:rsid w:val="00531EBF"/>
    <w:rsid w:val="005343EB"/>
    <w:rsid w:val="0054553C"/>
    <w:rsid w:val="005471C5"/>
    <w:rsid w:val="00552AB3"/>
    <w:rsid w:val="0055665D"/>
    <w:rsid w:val="00560070"/>
    <w:rsid w:val="00563CA8"/>
    <w:rsid w:val="00570F1C"/>
    <w:rsid w:val="00575998"/>
    <w:rsid w:val="0058361C"/>
    <w:rsid w:val="00583B23"/>
    <w:rsid w:val="005856CC"/>
    <w:rsid w:val="0059146D"/>
    <w:rsid w:val="00591880"/>
    <w:rsid w:val="00596E8C"/>
    <w:rsid w:val="005B2ACB"/>
    <w:rsid w:val="005B48B9"/>
    <w:rsid w:val="005B7480"/>
    <w:rsid w:val="005B7930"/>
    <w:rsid w:val="005C40C9"/>
    <w:rsid w:val="005E3104"/>
    <w:rsid w:val="005F7DE8"/>
    <w:rsid w:val="006009B6"/>
    <w:rsid w:val="006017E0"/>
    <w:rsid w:val="00603348"/>
    <w:rsid w:val="0060523C"/>
    <w:rsid w:val="00606360"/>
    <w:rsid w:val="00616A7B"/>
    <w:rsid w:val="006240D8"/>
    <w:rsid w:val="0062648C"/>
    <w:rsid w:val="00632AE4"/>
    <w:rsid w:val="00641FEA"/>
    <w:rsid w:val="006423F2"/>
    <w:rsid w:val="0065795C"/>
    <w:rsid w:val="0066247C"/>
    <w:rsid w:val="006676F2"/>
    <w:rsid w:val="00670156"/>
    <w:rsid w:val="00677FA6"/>
    <w:rsid w:val="00685F0D"/>
    <w:rsid w:val="00685F4D"/>
    <w:rsid w:val="00693DC0"/>
    <w:rsid w:val="006970BD"/>
    <w:rsid w:val="006970EE"/>
    <w:rsid w:val="006A2BEE"/>
    <w:rsid w:val="006A2E0C"/>
    <w:rsid w:val="006B461C"/>
    <w:rsid w:val="006C7078"/>
    <w:rsid w:val="006D533C"/>
    <w:rsid w:val="006D5924"/>
    <w:rsid w:val="006E3B03"/>
    <w:rsid w:val="006E441D"/>
    <w:rsid w:val="006E5B79"/>
    <w:rsid w:val="006E7698"/>
    <w:rsid w:val="006F58A2"/>
    <w:rsid w:val="006F5BEC"/>
    <w:rsid w:val="006F5C73"/>
    <w:rsid w:val="006F7615"/>
    <w:rsid w:val="007004E9"/>
    <w:rsid w:val="0070311F"/>
    <w:rsid w:val="0071291E"/>
    <w:rsid w:val="007145EE"/>
    <w:rsid w:val="0071740C"/>
    <w:rsid w:val="00720E13"/>
    <w:rsid w:val="00723CB7"/>
    <w:rsid w:val="0072680B"/>
    <w:rsid w:val="00737471"/>
    <w:rsid w:val="00743631"/>
    <w:rsid w:val="00767CBA"/>
    <w:rsid w:val="00780465"/>
    <w:rsid w:val="00781ADD"/>
    <w:rsid w:val="00786890"/>
    <w:rsid w:val="007908F9"/>
    <w:rsid w:val="00797F32"/>
    <w:rsid w:val="007A4D3D"/>
    <w:rsid w:val="007A4D47"/>
    <w:rsid w:val="007A5216"/>
    <w:rsid w:val="007A521D"/>
    <w:rsid w:val="007B02DD"/>
    <w:rsid w:val="007B2CDF"/>
    <w:rsid w:val="007B7C40"/>
    <w:rsid w:val="007C383D"/>
    <w:rsid w:val="007F7A07"/>
    <w:rsid w:val="00801C0A"/>
    <w:rsid w:val="00805CEA"/>
    <w:rsid w:val="00812A4B"/>
    <w:rsid w:val="00815E4C"/>
    <w:rsid w:val="00833184"/>
    <w:rsid w:val="00834334"/>
    <w:rsid w:val="00835742"/>
    <w:rsid w:val="00835BEB"/>
    <w:rsid w:val="00835F01"/>
    <w:rsid w:val="008403DE"/>
    <w:rsid w:val="00844E38"/>
    <w:rsid w:val="00845520"/>
    <w:rsid w:val="0085274C"/>
    <w:rsid w:val="00853104"/>
    <w:rsid w:val="00863405"/>
    <w:rsid w:val="0087042D"/>
    <w:rsid w:val="008716C5"/>
    <w:rsid w:val="008760AB"/>
    <w:rsid w:val="00885DD1"/>
    <w:rsid w:val="00886CFE"/>
    <w:rsid w:val="00891A48"/>
    <w:rsid w:val="008C027C"/>
    <w:rsid w:val="008C0EF9"/>
    <w:rsid w:val="008C35C5"/>
    <w:rsid w:val="008C36BD"/>
    <w:rsid w:val="008C692F"/>
    <w:rsid w:val="008C6CAC"/>
    <w:rsid w:val="008D1149"/>
    <w:rsid w:val="008D133B"/>
    <w:rsid w:val="008D3159"/>
    <w:rsid w:val="008E167D"/>
    <w:rsid w:val="008E2470"/>
    <w:rsid w:val="008E507F"/>
    <w:rsid w:val="008E5E9E"/>
    <w:rsid w:val="008F3783"/>
    <w:rsid w:val="009000D2"/>
    <w:rsid w:val="009004B8"/>
    <w:rsid w:val="009107DA"/>
    <w:rsid w:val="0091125F"/>
    <w:rsid w:val="0091210E"/>
    <w:rsid w:val="0093552D"/>
    <w:rsid w:val="00941C57"/>
    <w:rsid w:val="009421C2"/>
    <w:rsid w:val="00942D4A"/>
    <w:rsid w:val="00943698"/>
    <w:rsid w:val="00943D25"/>
    <w:rsid w:val="00953B4E"/>
    <w:rsid w:val="009547F6"/>
    <w:rsid w:val="00961EE8"/>
    <w:rsid w:val="00964FD7"/>
    <w:rsid w:val="00967C53"/>
    <w:rsid w:val="00970B69"/>
    <w:rsid w:val="009710C7"/>
    <w:rsid w:val="00974C50"/>
    <w:rsid w:val="00975C8B"/>
    <w:rsid w:val="009835A7"/>
    <w:rsid w:val="00986F21"/>
    <w:rsid w:val="009919D7"/>
    <w:rsid w:val="009964AC"/>
    <w:rsid w:val="009969E1"/>
    <w:rsid w:val="009A0302"/>
    <w:rsid w:val="009A4041"/>
    <w:rsid w:val="009A4946"/>
    <w:rsid w:val="009B2A15"/>
    <w:rsid w:val="009C1545"/>
    <w:rsid w:val="009D0B5D"/>
    <w:rsid w:val="009D1C3E"/>
    <w:rsid w:val="009D1F00"/>
    <w:rsid w:val="009D255F"/>
    <w:rsid w:val="009D2FA7"/>
    <w:rsid w:val="009D4DC2"/>
    <w:rsid w:val="009D4ED9"/>
    <w:rsid w:val="009D73A6"/>
    <w:rsid w:val="009E70E1"/>
    <w:rsid w:val="009F073E"/>
    <w:rsid w:val="009F16ED"/>
    <w:rsid w:val="009F2DD4"/>
    <w:rsid w:val="009F33E3"/>
    <w:rsid w:val="009F508B"/>
    <w:rsid w:val="00A02DDE"/>
    <w:rsid w:val="00A03C09"/>
    <w:rsid w:val="00A13EB4"/>
    <w:rsid w:val="00A16263"/>
    <w:rsid w:val="00A20510"/>
    <w:rsid w:val="00A20EEE"/>
    <w:rsid w:val="00A225BE"/>
    <w:rsid w:val="00A234AE"/>
    <w:rsid w:val="00A24903"/>
    <w:rsid w:val="00A30686"/>
    <w:rsid w:val="00A32689"/>
    <w:rsid w:val="00A34532"/>
    <w:rsid w:val="00A37792"/>
    <w:rsid w:val="00A419DD"/>
    <w:rsid w:val="00A426B3"/>
    <w:rsid w:val="00A47D78"/>
    <w:rsid w:val="00A519B3"/>
    <w:rsid w:val="00A52469"/>
    <w:rsid w:val="00A5545D"/>
    <w:rsid w:val="00A57EBF"/>
    <w:rsid w:val="00A60E1B"/>
    <w:rsid w:val="00A700A5"/>
    <w:rsid w:val="00A71560"/>
    <w:rsid w:val="00A737D1"/>
    <w:rsid w:val="00A741EE"/>
    <w:rsid w:val="00A7577D"/>
    <w:rsid w:val="00A825AD"/>
    <w:rsid w:val="00A83206"/>
    <w:rsid w:val="00A83789"/>
    <w:rsid w:val="00A94863"/>
    <w:rsid w:val="00A95235"/>
    <w:rsid w:val="00A960BE"/>
    <w:rsid w:val="00A97A7F"/>
    <w:rsid w:val="00AA60B7"/>
    <w:rsid w:val="00AB245B"/>
    <w:rsid w:val="00AB362D"/>
    <w:rsid w:val="00AB4F85"/>
    <w:rsid w:val="00AB7D17"/>
    <w:rsid w:val="00AC3611"/>
    <w:rsid w:val="00AD13E4"/>
    <w:rsid w:val="00AD37A0"/>
    <w:rsid w:val="00AD3C76"/>
    <w:rsid w:val="00AD72DD"/>
    <w:rsid w:val="00AE1BC5"/>
    <w:rsid w:val="00AE2181"/>
    <w:rsid w:val="00B01A54"/>
    <w:rsid w:val="00B12E10"/>
    <w:rsid w:val="00B16E7F"/>
    <w:rsid w:val="00B26DE8"/>
    <w:rsid w:val="00B32476"/>
    <w:rsid w:val="00B36418"/>
    <w:rsid w:val="00B4078B"/>
    <w:rsid w:val="00B40F0F"/>
    <w:rsid w:val="00B438FA"/>
    <w:rsid w:val="00B44556"/>
    <w:rsid w:val="00B577E1"/>
    <w:rsid w:val="00B67BB8"/>
    <w:rsid w:val="00B73A9E"/>
    <w:rsid w:val="00B816F4"/>
    <w:rsid w:val="00B84213"/>
    <w:rsid w:val="00B85B9C"/>
    <w:rsid w:val="00B870EC"/>
    <w:rsid w:val="00B97065"/>
    <w:rsid w:val="00BA5F89"/>
    <w:rsid w:val="00BA6A68"/>
    <w:rsid w:val="00BB6D28"/>
    <w:rsid w:val="00BC73C3"/>
    <w:rsid w:val="00BD0496"/>
    <w:rsid w:val="00BD0A10"/>
    <w:rsid w:val="00BD2756"/>
    <w:rsid w:val="00BD3048"/>
    <w:rsid w:val="00BD3273"/>
    <w:rsid w:val="00BD4CA4"/>
    <w:rsid w:val="00BD5B96"/>
    <w:rsid w:val="00BD6B8E"/>
    <w:rsid w:val="00BD7B9A"/>
    <w:rsid w:val="00BF6672"/>
    <w:rsid w:val="00C04673"/>
    <w:rsid w:val="00C12068"/>
    <w:rsid w:val="00C169FE"/>
    <w:rsid w:val="00C50180"/>
    <w:rsid w:val="00C52142"/>
    <w:rsid w:val="00C521F2"/>
    <w:rsid w:val="00C528E2"/>
    <w:rsid w:val="00C55412"/>
    <w:rsid w:val="00C55FEF"/>
    <w:rsid w:val="00C65B32"/>
    <w:rsid w:val="00C7000C"/>
    <w:rsid w:val="00C7423D"/>
    <w:rsid w:val="00C83041"/>
    <w:rsid w:val="00C834DB"/>
    <w:rsid w:val="00C86436"/>
    <w:rsid w:val="00C86D27"/>
    <w:rsid w:val="00CA5B4C"/>
    <w:rsid w:val="00CA6010"/>
    <w:rsid w:val="00CA6FDF"/>
    <w:rsid w:val="00CA7B53"/>
    <w:rsid w:val="00CC7C05"/>
    <w:rsid w:val="00CF37DD"/>
    <w:rsid w:val="00D03CC8"/>
    <w:rsid w:val="00D07426"/>
    <w:rsid w:val="00D142BB"/>
    <w:rsid w:val="00D172CA"/>
    <w:rsid w:val="00D25AF7"/>
    <w:rsid w:val="00D26520"/>
    <w:rsid w:val="00D31C05"/>
    <w:rsid w:val="00D37C23"/>
    <w:rsid w:val="00D426A4"/>
    <w:rsid w:val="00D42801"/>
    <w:rsid w:val="00D467B9"/>
    <w:rsid w:val="00D52294"/>
    <w:rsid w:val="00D52B73"/>
    <w:rsid w:val="00D54049"/>
    <w:rsid w:val="00D6085A"/>
    <w:rsid w:val="00D641CE"/>
    <w:rsid w:val="00D644BD"/>
    <w:rsid w:val="00D706CB"/>
    <w:rsid w:val="00D71A11"/>
    <w:rsid w:val="00D72766"/>
    <w:rsid w:val="00D80445"/>
    <w:rsid w:val="00D807C2"/>
    <w:rsid w:val="00D935CE"/>
    <w:rsid w:val="00D93779"/>
    <w:rsid w:val="00D96F31"/>
    <w:rsid w:val="00DA08E6"/>
    <w:rsid w:val="00DA120C"/>
    <w:rsid w:val="00DA2E69"/>
    <w:rsid w:val="00DA7016"/>
    <w:rsid w:val="00DB0B42"/>
    <w:rsid w:val="00DB3FBB"/>
    <w:rsid w:val="00DB58F6"/>
    <w:rsid w:val="00DB609D"/>
    <w:rsid w:val="00DC3A21"/>
    <w:rsid w:val="00DC43A5"/>
    <w:rsid w:val="00DD404C"/>
    <w:rsid w:val="00DD47F5"/>
    <w:rsid w:val="00DD58E3"/>
    <w:rsid w:val="00E007F8"/>
    <w:rsid w:val="00E136D3"/>
    <w:rsid w:val="00E22B69"/>
    <w:rsid w:val="00E249DE"/>
    <w:rsid w:val="00E2594B"/>
    <w:rsid w:val="00E2746A"/>
    <w:rsid w:val="00E2768E"/>
    <w:rsid w:val="00E3286B"/>
    <w:rsid w:val="00E33D84"/>
    <w:rsid w:val="00E3651D"/>
    <w:rsid w:val="00E431DA"/>
    <w:rsid w:val="00E5511B"/>
    <w:rsid w:val="00E55963"/>
    <w:rsid w:val="00E55D29"/>
    <w:rsid w:val="00E56013"/>
    <w:rsid w:val="00E64D6C"/>
    <w:rsid w:val="00E71185"/>
    <w:rsid w:val="00E827D8"/>
    <w:rsid w:val="00E82A4F"/>
    <w:rsid w:val="00E85587"/>
    <w:rsid w:val="00E87AC6"/>
    <w:rsid w:val="00E943B1"/>
    <w:rsid w:val="00EA2FDC"/>
    <w:rsid w:val="00EA6084"/>
    <w:rsid w:val="00EB5279"/>
    <w:rsid w:val="00EC24A8"/>
    <w:rsid w:val="00EC32A0"/>
    <w:rsid w:val="00EC5E91"/>
    <w:rsid w:val="00ED6EC1"/>
    <w:rsid w:val="00EE0087"/>
    <w:rsid w:val="00EE0DD0"/>
    <w:rsid w:val="00EE0FED"/>
    <w:rsid w:val="00EE1E5B"/>
    <w:rsid w:val="00EF201F"/>
    <w:rsid w:val="00EF6242"/>
    <w:rsid w:val="00EF676C"/>
    <w:rsid w:val="00EF7301"/>
    <w:rsid w:val="00F0133E"/>
    <w:rsid w:val="00F04E2A"/>
    <w:rsid w:val="00F15B86"/>
    <w:rsid w:val="00F21317"/>
    <w:rsid w:val="00F23523"/>
    <w:rsid w:val="00F23929"/>
    <w:rsid w:val="00F278A7"/>
    <w:rsid w:val="00F27B4E"/>
    <w:rsid w:val="00F314AF"/>
    <w:rsid w:val="00F33424"/>
    <w:rsid w:val="00F35641"/>
    <w:rsid w:val="00F371AA"/>
    <w:rsid w:val="00F377B1"/>
    <w:rsid w:val="00F443BC"/>
    <w:rsid w:val="00F45A6E"/>
    <w:rsid w:val="00F52665"/>
    <w:rsid w:val="00F57308"/>
    <w:rsid w:val="00F57417"/>
    <w:rsid w:val="00F629F1"/>
    <w:rsid w:val="00F63855"/>
    <w:rsid w:val="00F66189"/>
    <w:rsid w:val="00F66888"/>
    <w:rsid w:val="00F70127"/>
    <w:rsid w:val="00F71F88"/>
    <w:rsid w:val="00F752C7"/>
    <w:rsid w:val="00F75F7D"/>
    <w:rsid w:val="00F87415"/>
    <w:rsid w:val="00F879E0"/>
    <w:rsid w:val="00F90B56"/>
    <w:rsid w:val="00F948D8"/>
    <w:rsid w:val="00F95727"/>
    <w:rsid w:val="00FA2CBB"/>
    <w:rsid w:val="00FB1E2E"/>
    <w:rsid w:val="00FB7753"/>
    <w:rsid w:val="00FB7F9C"/>
    <w:rsid w:val="00FC3E62"/>
    <w:rsid w:val="00FC3F99"/>
    <w:rsid w:val="00FC4375"/>
    <w:rsid w:val="00FC46BF"/>
    <w:rsid w:val="00FD52C0"/>
    <w:rsid w:val="00FE34B2"/>
    <w:rsid w:val="00FE51B9"/>
    <w:rsid w:val="00FF04DA"/>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ECCA87"/>
  <w15:docId w15:val="{73DF6957-9F27-4361-A670-43B2E107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styleId="Subtitle">
    <w:name w:val="Subtitle"/>
    <w:basedOn w:val="Normal"/>
    <w:next w:val="Normal"/>
    <w:link w:val="SubtitleChar"/>
    <w:uiPriority w:val="11"/>
    <w:qFormat/>
    <w:rsid w:val="00BA6A68"/>
    <w:pPr>
      <w:numPr>
        <w:ilvl w:val="1"/>
      </w:numPr>
      <w:spacing w:after="160" w:line="259" w:lineRule="auto"/>
    </w:pPr>
    <w:rPr>
      <w:color w:val="FFFFFF" w:themeColor="text1" w:themeTint="A5"/>
      <w:spacing w:val="15"/>
      <w:sz w:val="22"/>
      <w:lang w:val="de-AT"/>
    </w:rPr>
  </w:style>
  <w:style w:type="character" w:customStyle="1" w:styleId="SubtitleChar">
    <w:name w:val="Subtitle Char"/>
    <w:basedOn w:val="DefaultParagraphFont"/>
    <w:link w:val="Subtitle"/>
    <w:uiPriority w:val="11"/>
    <w:rsid w:val="00BA6A68"/>
    <w:rPr>
      <w:color w:val="FFFFFF" w:themeColor="text1" w:themeTint="A5"/>
      <w:spacing w:val="15"/>
      <w:lang w:val="de-AT"/>
    </w:rPr>
  </w:style>
  <w:style w:type="paragraph" w:styleId="Revision">
    <w:name w:val="Revision"/>
    <w:hidden/>
    <w:uiPriority w:val="99"/>
    <w:semiHidden/>
    <w:rsid w:val="00D93779"/>
    <w:pPr>
      <w:spacing w:after="0" w:line="240" w:lineRule="auto"/>
    </w:pPr>
    <w:rPr>
      <w:sz w:val="18"/>
    </w:rPr>
  </w:style>
  <w:style w:type="paragraph" w:customStyle="1" w:styleId="Default">
    <w:name w:val="Default"/>
    <w:rsid w:val="00A94863"/>
    <w:pPr>
      <w:autoSpaceDE w:val="0"/>
      <w:autoSpaceDN w:val="0"/>
      <w:adjustRightInd w:val="0"/>
      <w:spacing w:after="0" w:line="240" w:lineRule="auto"/>
    </w:pPr>
    <w:rPr>
      <w:rFonts w:ascii="Calibri" w:hAnsi="Calibri" w:cs="Calibri"/>
      <w:color w:val="000000"/>
      <w:sz w:val="24"/>
      <w:szCs w:val="24"/>
      <w:lang w:val="de-AT"/>
    </w:rPr>
  </w:style>
  <w:style w:type="paragraph" w:customStyle="1" w:styleId="Headline0">
    <w:name w:val="Headline"/>
    <w:basedOn w:val="Heading1"/>
    <w:link w:val="HeadlineChar"/>
    <w:qFormat/>
    <w:rsid w:val="001E6707"/>
    <w:pPr>
      <w:numPr>
        <w:numId w:val="0"/>
      </w:numPr>
      <w:spacing w:after="240"/>
    </w:pPr>
    <w:rPr>
      <w:sz w:val="36"/>
      <w:szCs w:val="28"/>
      <w:lang w:eastAsia="ja-JP"/>
    </w:rPr>
  </w:style>
  <w:style w:type="character" w:customStyle="1" w:styleId="HeadlineChar">
    <w:name w:val="Headline Char"/>
    <w:basedOn w:val="Heading1Char"/>
    <w:link w:val="Headline0"/>
    <w:rsid w:val="001E6707"/>
    <w:rPr>
      <w:rFonts w:eastAsia="MS Mincho" w:cs="Times New Roman"/>
      <w:iCs/>
      <w:color w:val="0083C1" w:themeColor="background1"/>
      <w:kern w:val="32"/>
      <w:sz w:val="36"/>
      <w:szCs w:val="28"/>
      <w:lang w:val="en-GB" w:eastAsia="ja-JP"/>
    </w:rPr>
  </w:style>
  <w:style w:type="paragraph" w:customStyle="1" w:styleId="Introduction">
    <w:name w:val="Introduction"/>
    <w:basedOn w:val="Heading2"/>
    <w:link w:val="IntroductionChar"/>
    <w:qFormat/>
    <w:rsid w:val="001E6707"/>
    <w:pPr>
      <w:numPr>
        <w:ilvl w:val="0"/>
        <w:numId w:val="0"/>
      </w:numPr>
      <w:spacing w:after="240" w:line="276" w:lineRule="auto"/>
    </w:pPr>
    <w:rPr>
      <w:sz w:val="28"/>
      <w:lang w:eastAsia="ja-JP"/>
    </w:rPr>
  </w:style>
  <w:style w:type="character" w:customStyle="1" w:styleId="IntroductionChar">
    <w:name w:val="Introduction Char"/>
    <w:basedOn w:val="Heading2Char"/>
    <w:link w:val="Introduction"/>
    <w:rsid w:val="001E6707"/>
    <w:rPr>
      <w:rFonts w:eastAsia="MS Mincho" w:cs="Times New Roman"/>
      <w:bCs/>
      <w:iCs/>
      <w:color w:val="5F5F5F" w:themeColor="background2"/>
      <w:sz w:val="28"/>
      <w:szCs w:val="28"/>
      <w:lang w:val="en-GB" w:eastAsia="ja-JP"/>
    </w:rPr>
  </w:style>
  <w:style w:type="paragraph" w:customStyle="1" w:styleId="Subheading">
    <w:name w:val="Subheading"/>
    <w:basedOn w:val="Heading4"/>
    <w:link w:val="SubheadingChar"/>
    <w:qFormat/>
    <w:rsid w:val="001E6707"/>
    <w:pPr>
      <w:numPr>
        <w:ilvl w:val="0"/>
        <w:numId w:val="0"/>
      </w:numPr>
      <w:spacing w:after="240" w:line="276" w:lineRule="auto"/>
    </w:pPr>
    <w:rPr>
      <w:b w:val="0"/>
      <w:lang w:eastAsia="ja-JP"/>
    </w:rPr>
  </w:style>
  <w:style w:type="paragraph" w:customStyle="1" w:styleId="BodyCopy">
    <w:name w:val="Body Copy"/>
    <w:basedOn w:val="Normal"/>
    <w:link w:val="BodyCopyChar"/>
    <w:qFormat/>
    <w:rsid w:val="001E6707"/>
    <w:pPr>
      <w:spacing w:before="120" w:after="120"/>
    </w:pPr>
    <w:rPr>
      <w:sz w:val="22"/>
      <w:lang w:eastAsia="ja-JP"/>
    </w:rPr>
  </w:style>
  <w:style w:type="character" w:customStyle="1" w:styleId="SubheadingChar">
    <w:name w:val="Subheading Char"/>
    <w:basedOn w:val="Heading4Char"/>
    <w:link w:val="Subheading"/>
    <w:rsid w:val="001E6707"/>
    <w:rPr>
      <w:rFonts w:eastAsia="MS Mincho" w:cs="Times New Roman"/>
      <w:b w:val="0"/>
      <w:bCs/>
      <w:color w:val="0083C1" w:themeColor="background1"/>
      <w:sz w:val="24"/>
      <w:szCs w:val="24"/>
      <w:lang w:val="en-GB" w:eastAsia="ja-JP"/>
    </w:rPr>
  </w:style>
  <w:style w:type="character" w:customStyle="1" w:styleId="BodyCopyChar">
    <w:name w:val="Body Copy Char"/>
    <w:basedOn w:val="DefaultParagraphFont"/>
    <w:link w:val="BodyCopy"/>
    <w:rsid w:val="001E6707"/>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16092">
      <w:bodyDiv w:val="1"/>
      <w:marLeft w:val="0"/>
      <w:marRight w:val="0"/>
      <w:marTop w:val="0"/>
      <w:marBottom w:val="0"/>
      <w:divBdr>
        <w:top w:val="none" w:sz="0" w:space="0" w:color="auto"/>
        <w:left w:val="none" w:sz="0" w:space="0" w:color="auto"/>
        <w:bottom w:val="none" w:sz="0" w:space="0" w:color="auto"/>
        <w:right w:val="none" w:sz="0" w:space="0" w:color="auto"/>
      </w:divBdr>
    </w:div>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237135358">
      <w:bodyDiv w:val="1"/>
      <w:marLeft w:val="0"/>
      <w:marRight w:val="0"/>
      <w:marTop w:val="0"/>
      <w:marBottom w:val="0"/>
      <w:divBdr>
        <w:top w:val="none" w:sz="0" w:space="0" w:color="auto"/>
        <w:left w:val="none" w:sz="0" w:space="0" w:color="auto"/>
        <w:bottom w:val="none" w:sz="0" w:space="0" w:color="auto"/>
        <w:right w:val="none" w:sz="0" w:space="0" w:color="auto"/>
      </w:divBdr>
      <w:divsChild>
        <w:div w:id="306207774">
          <w:marLeft w:val="446"/>
          <w:marRight w:val="0"/>
          <w:marTop w:val="0"/>
          <w:marBottom w:val="0"/>
          <w:divBdr>
            <w:top w:val="none" w:sz="0" w:space="0" w:color="auto"/>
            <w:left w:val="none" w:sz="0" w:space="0" w:color="auto"/>
            <w:bottom w:val="none" w:sz="0" w:space="0" w:color="auto"/>
            <w:right w:val="none" w:sz="0" w:space="0" w:color="auto"/>
          </w:divBdr>
        </w:div>
        <w:div w:id="1455247468">
          <w:marLeft w:val="446"/>
          <w:marRight w:val="0"/>
          <w:marTop w:val="0"/>
          <w:marBottom w:val="0"/>
          <w:divBdr>
            <w:top w:val="none" w:sz="0" w:space="0" w:color="auto"/>
            <w:left w:val="none" w:sz="0" w:space="0" w:color="auto"/>
            <w:bottom w:val="none" w:sz="0" w:space="0" w:color="auto"/>
            <w:right w:val="none" w:sz="0" w:space="0" w:color="auto"/>
          </w:divBdr>
        </w:div>
        <w:div w:id="2095931302">
          <w:marLeft w:val="446"/>
          <w:marRight w:val="0"/>
          <w:marTop w:val="0"/>
          <w:marBottom w:val="0"/>
          <w:divBdr>
            <w:top w:val="none" w:sz="0" w:space="0" w:color="auto"/>
            <w:left w:val="none" w:sz="0" w:space="0" w:color="auto"/>
            <w:bottom w:val="none" w:sz="0" w:space="0" w:color="auto"/>
            <w:right w:val="none" w:sz="0" w:space="0" w:color="auto"/>
          </w:divBdr>
        </w:div>
        <w:div w:id="1131942836">
          <w:marLeft w:val="446"/>
          <w:marRight w:val="0"/>
          <w:marTop w:val="0"/>
          <w:marBottom w:val="0"/>
          <w:divBdr>
            <w:top w:val="none" w:sz="0" w:space="0" w:color="auto"/>
            <w:left w:val="none" w:sz="0" w:space="0" w:color="auto"/>
            <w:bottom w:val="none" w:sz="0" w:space="0" w:color="auto"/>
            <w:right w:val="none" w:sz="0" w:space="0" w:color="auto"/>
          </w:divBdr>
        </w:div>
        <w:div w:id="507717968">
          <w:marLeft w:val="446"/>
          <w:marRight w:val="0"/>
          <w:marTop w:val="0"/>
          <w:marBottom w:val="0"/>
          <w:divBdr>
            <w:top w:val="none" w:sz="0" w:space="0" w:color="auto"/>
            <w:left w:val="none" w:sz="0" w:space="0" w:color="auto"/>
            <w:bottom w:val="none" w:sz="0" w:space="0" w:color="auto"/>
            <w:right w:val="none" w:sz="0" w:space="0" w:color="auto"/>
          </w:divBdr>
        </w:div>
        <w:div w:id="27075987">
          <w:marLeft w:val="446"/>
          <w:marRight w:val="0"/>
          <w:marTop w:val="0"/>
          <w:marBottom w:val="0"/>
          <w:divBdr>
            <w:top w:val="none" w:sz="0" w:space="0" w:color="auto"/>
            <w:left w:val="none" w:sz="0" w:space="0" w:color="auto"/>
            <w:bottom w:val="none" w:sz="0" w:space="0" w:color="auto"/>
            <w:right w:val="none" w:sz="0" w:space="0" w:color="auto"/>
          </w:divBdr>
        </w:div>
      </w:divsChild>
    </w:div>
    <w:div w:id="287928970">
      <w:bodyDiv w:val="1"/>
      <w:marLeft w:val="0"/>
      <w:marRight w:val="0"/>
      <w:marTop w:val="0"/>
      <w:marBottom w:val="0"/>
      <w:divBdr>
        <w:top w:val="none" w:sz="0" w:space="0" w:color="auto"/>
        <w:left w:val="none" w:sz="0" w:space="0" w:color="auto"/>
        <w:bottom w:val="none" w:sz="0" w:space="0" w:color="auto"/>
        <w:right w:val="none" w:sz="0" w:space="0" w:color="auto"/>
      </w:divBdr>
    </w:div>
    <w:div w:id="505558607">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978462526">
      <w:bodyDiv w:val="1"/>
      <w:marLeft w:val="0"/>
      <w:marRight w:val="0"/>
      <w:marTop w:val="0"/>
      <w:marBottom w:val="0"/>
      <w:divBdr>
        <w:top w:val="none" w:sz="0" w:space="0" w:color="auto"/>
        <w:left w:val="none" w:sz="0" w:space="0" w:color="auto"/>
        <w:bottom w:val="none" w:sz="0" w:space="0" w:color="auto"/>
        <w:right w:val="none" w:sz="0" w:space="0" w:color="auto"/>
      </w:divBdr>
    </w:div>
    <w:div w:id="1189031779">
      <w:bodyDiv w:val="1"/>
      <w:marLeft w:val="0"/>
      <w:marRight w:val="0"/>
      <w:marTop w:val="0"/>
      <w:marBottom w:val="0"/>
      <w:divBdr>
        <w:top w:val="none" w:sz="0" w:space="0" w:color="auto"/>
        <w:left w:val="none" w:sz="0" w:space="0" w:color="auto"/>
        <w:bottom w:val="none" w:sz="0" w:space="0" w:color="auto"/>
        <w:right w:val="none" w:sz="0" w:space="0" w:color="auto"/>
      </w:divBdr>
      <w:divsChild>
        <w:div w:id="2055497804">
          <w:marLeft w:val="0"/>
          <w:marRight w:val="240"/>
          <w:marTop w:val="0"/>
          <w:marBottom w:val="240"/>
          <w:divBdr>
            <w:top w:val="none" w:sz="0" w:space="0" w:color="auto"/>
            <w:left w:val="none" w:sz="0" w:space="0" w:color="auto"/>
            <w:bottom w:val="none" w:sz="0" w:space="0" w:color="auto"/>
            <w:right w:val="none" w:sz="0" w:space="0" w:color="auto"/>
          </w:divBdr>
          <w:divsChild>
            <w:div w:id="1027027493">
              <w:marLeft w:val="0"/>
              <w:marRight w:val="0"/>
              <w:marTop w:val="120"/>
              <w:marBottom w:val="0"/>
              <w:divBdr>
                <w:top w:val="none" w:sz="0" w:space="0" w:color="auto"/>
                <w:left w:val="none" w:sz="0" w:space="0" w:color="auto"/>
                <w:bottom w:val="none" w:sz="0" w:space="0" w:color="auto"/>
                <w:right w:val="none" w:sz="0" w:space="0" w:color="auto"/>
              </w:divBdr>
            </w:div>
            <w:div w:id="1238439337">
              <w:marLeft w:val="0"/>
              <w:marRight w:val="0"/>
              <w:marTop w:val="120"/>
              <w:marBottom w:val="0"/>
              <w:divBdr>
                <w:top w:val="none" w:sz="0" w:space="0" w:color="auto"/>
                <w:left w:val="none" w:sz="0" w:space="0" w:color="auto"/>
                <w:bottom w:val="single" w:sz="6" w:space="6" w:color="8D9DA2"/>
                <w:right w:val="none" w:sz="0" w:space="0" w:color="auto"/>
              </w:divBdr>
              <w:divsChild>
                <w:div w:id="15097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2063">
          <w:marLeft w:val="0"/>
          <w:marRight w:val="0"/>
          <w:marTop w:val="360"/>
          <w:marBottom w:val="360"/>
          <w:divBdr>
            <w:top w:val="none" w:sz="0" w:space="0" w:color="auto"/>
            <w:left w:val="none" w:sz="0" w:space="0" w:color="auto"/>
            <w:bottom w:val="none" w:sz="0" w:space="0" w:color="auto"/>
            <w:right w:val="none" w:sz="0" w:space="0" w:color="auto"/>
          </w:divBdr>
        </w:div>
        <w:div w:id="1081222405">
          <w:marLeft w:val="0"/>
          <w:marRight w:val="0"/>
          <w:marTop w:val="0"/>
          <w:marBottom w:val="240"/>
          <w:divBdr>
            <w:top w:val="none" w:sz="0" w:space="0" w:color="auto"/>
            <w:left w:val="none" w:sz="0" w:space="0" w:color="auto"/>
            <w:bottom w:val="none" w:sz="0" w:space="0" w:color="auto"/>
            <w:right w:val="none" w:sz="0" w:space="0" w:color="auto"/>
          </w:divBdr>
        </w:div>
      </w:divsChild>
    </w:div>
    <w:div w:id="1281454810">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1896768508">
      <w:bodyDiv w:val="1"/>
      <w:marLeft w:val="0"/>
      <w:marRight w:val="0"/>
      <w:marTop w:val="0"/>
      <w:marBottom w:val="0"/>
      <w:divBdr>
        <w:top w:val="none" w:sz="0" w:space="0" w:color="auto"/>
        <w:left w:val="none" w:sz="0" w:space="0" w:color="auto"/>
        <w:bottom w:val="none" w:sz="0" w:space="0" w:color="auto"/>
        <w:right w:val="none" w:sz="0" w:space="0" w:color="auto"/>
      </w:divBdr>
    </w:div>
    <w:div w:id="2022968135">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kin.eu/en_us/products/EDLQ011-016CV3.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48\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04215-1924-4D56-A48E-030C882BA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2</TotalTime>
  <Pages>3</Pages>
  <Words>695</Words>
  <Characters>3966</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Marijke Slijkhuis</cp:lastModifiedBy>
  <cp:revision>3</cp:revision>
  <cp:lastPrinted>2017-12-19T11:12:00Z</cp:lastPrinted>
  <dcterms:created xsi:type="dcterms:W3CDTF">2018-06-07T16:11:00Z</dcterms:created>
  <dcterms:modified xsi:type="dcterms:W3CDTF">2018-06-07T16:13:00Z</dcterms:modified>
</cp:coreProperties>
</file>